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PRESENTACIÓN: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Hola, mi nombre es Sergi Sanz y mis compañeros son Jesus Martinez, y Fernando Penteado hoy vamos a hablar sobre “</w:t>
      </w:r>
      <w:r w:rsidDel="00000000" w:rsidR="00000000" w:rsidRPr="00000000">
        <w:rPr>
          <w:i w:val="1"/>
          <w:rtl w:val="0"/>
        </w:rPr>
        <w:t xml:space="preserve">Management of Service Level Agreements for Cloud Services in IoT: A Systematic Mapping Study</w:t>
      </w:r>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ÍNDICE: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el siguiente índice se exponen los puntos sobre los que vamos a tratar hoy, que son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INTRODUCCIÓN: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Un SLA tambien llamado Service Level Agreements es un acuerdo contractual entre una empresa de servicios y su cliente, donde se define, fundamentalmente, el servicio y los compromisos de calidad.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Un SLA debe contener una descripción clara del servicio a prestar, tanto de lo que forma parte del servicio como lo que queda excluido.</w:t>
      </w:r>
    </w:p>
    <w:p w:rsidR="00000000" w:rsidDel="00000000" w:rsidP="00000000" w:rsidRDefault="00000000" w:rsidRPr="00000000" w14:paraId="0000000E">
      <w:pPr>
        <w:jc w:val="both"/>
        <w:rPr>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highlight w:val="white"/>
        </w:rPr>
      </w:pPr>
      <w:r w:rsidDel="00000000" w:rsidR="00000000" w:rsidRPr="00000000">
        <w:rPr>
          <w:b w:val="1"/>
          <w:highlight w:val="white"/>
          <w:rtl w:val="0"/>
        </w:rPr>
        <w:t xml:space="preserve">SLA de servicio:</w:t>
      </w:r>
      <w:r w:rsidDel="00000000" w:rsidR="00000000" w:rsidRPr="00000000">
        <w:rPr>
          <w:highlight w:val="white"/>
          <w:rtl w:val="0"/>
        </w:rPr>
        <w:t xml:space="preserve"> Aplica un SLA estándar a todos los clientes que contratan un mismo servicio. Es útil cuando nuestra empresa ofrece varios servicios con tiempos de resolución y respuesta diferentes.</w:t>
      </w:r>
    </w:p>
    <w:p w:rsidR="00000000" w:rsidDel="00000000" w:rsidP="00000000" w:rsidRDefault="00000000" w:rsidRPr="00000000" w14:paraId="00000010">
      <w:pPr>
        <w:ind w:left="720" w:firstLine="0"/>
        <w:jc w:val="both"/>
        <w:rPr>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highlight w:val="white"/>
        </w:rPr>
      </w:pPr>
      <w:r w:rsidDel="00000000" w:rsidR="00000000" w:rsidRPr="00000000">
        <w:rPr>
          <w:b w:val="1"/>
          <w:highlight w:val="white"/>
          <w:rtl w:val="0"/>
        </w:rPr>
        <w:t xml:space="preserve">SLA basado en el cliente: </w:t>
      </w:r>
      <w:r w:rsidDel="00000000" w:rsidR="00000000" w:rsidRPr="00000000">
        <w:rPr>
          <w:highlight w:val="white"/>
          <w:rtl w:val="0"/>
        </w:rPr>
        <w:t xml:space="preserve">Aplica a todos los servicios contratados por un mismo cliente, un grupo de clientes o una misma área de negocio.</w:t>
      </w:r>
    </w:p>
    <w:p w:rsidR="00000000" w:rsidDel="00000000" w:rsidP="00000000" w:rsidRDefault="00000000" w:rsidRPr="00000000" w14:paraId="00000012">
      <w:pPr>
        <w:ind w:left="720" w:firstLine="0"/>
        <w:jc w:val="both"/>
        <w:rPr>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b w:val="1"/>
          <w:highlight w:val="white"/>
        </w:rPr>
      </w:pPr>
      <w:r w:rsidDel="00000000" w:rsidR="00000000" w:rsidRPr="00000000">
        <w:rPr>
          <w:b w:val="1"/>
          <w:highlight w:val="white"/>
          <w:rtl w:val="0"/>
        </w:rPr>
        <w:t xml:space="preserve">SLA multinivel</w:t>
      </w:r>
      <w:r w:rsidDel="00000000" w:rsidR="00000000" w:rsidRPr="00000000">
        <w:rPr>
          <w:highlight w:val="white"/>
          <w:rtl w:val="0"/>
        </w:rPr>
        <w:t xml:space="preserve">: Combina el SLA de servicio, cliente y también se aplica a nivel corporativo para todos los usuarios de una organización. Los SLA multinivel evitan duplicaciones e incompetencias entre varios acuerdos, haciendo posible integrar en un mismo sistema varias condiciones.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b w:val="1"/>
          <w:u w:val="single"/>
          <w:rtl w:val="0"/>
        </w:rPr>
        <w:t xml:space="preserve">OBJETIVOS: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objetivo principal de este documento es llevar a cabo una investigación detallada de la investigación existente sobre la gestión de SLA en aplicaciones IoT que se basan en servicios en la nube. Para este propósito, construimos un mapa estructurado de la literatura de investigación disponible mediante la realización de un estudio de mapeo sistemático.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También, clasificamos los estudios relevantes en relación con diversos aspectos de la gestión de SLA. Además, identificamos la distribución y las tendencias de publicación en el área de investigación de acuerdo con tres clasificaciones:</w:t>
      </w:r>
    </w:p>
    <w:p w:rsidR="00000000" w:rsidDel="00000000" w:rsidP="00000000" w:rsidRDefault="00000000" w:rsidRPr="00000000" w14:paraId="0000001A">
      <w:pPr>
        <w:jc w:val="both"/>
        <w:rPr/>
      </w:pPr>
      <w:r w:rsidDel="00000000" w:rsidR="00000000" w:rsidRPr="00000000">
        <w:rPr>
          <w:rtl w:val="0"/>
        </w:rPr>
        <w:t xml:space="preserve"> </w:t>
      </w:r>
    </w:p>
    <w:p w:rsidR="00000000" w:rsidDel="00000000" w:rsidP="00000000" w:rsidRDefault="00000000" w:rsidRPr="00000000" w14:paraId="0000001B">
      <w:pPr>
        <w:numPr>
          <w:ilvl w:val="0"/>
          <w:numId w:val="3"/>
        </w:numPr>
        <w:ind w:left="720" w:hanging="360"/>
        <w:jc w:val="both"/>
        <w:rPr/>
      </w:pPr>
      <w:r w:rsidDel="00000000" w:rsidR="00000000" w:rsidRPr="00000000">
        <w:rPr>
          <w:rtl w:val="0"/>
        </w:rPr>
        <w:t xml:space="preserve">Contribuciones técnicas que corresponden a varios aspectos de la gestión de SLA para servicios en la nube en IoT.</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pPr>
      <w:r w:rsidDel="00000000" w:rsidR="00000000" w:rsidRPr="00000000">
        <w:rPr>
          <w:rtl w:val="0"/>
        </w:rPr>
        <w:t xml:space="preserve">Tipo de investigación.</w:t>
      </w:r>
    </w:p>
    <w:p w:rsidR="00000000" w:rsidDel="00000000" w:rsidP="00000000" w:rsidRDefault="00000000" w:rsidRPr="00000000" w14:paraId="0000001E">
      <w:pPr>
        <w:numPr>
          <w:ilvl w:val="0"/>
          <w:numId w:val="3"/>
        </w:numPr>
        <w:ind w:left="720" w:hanging="360"/>
        <w:jc w:val="both"/>
        <w:rPr/>
      </w:pPr>
      <w:r w:rsidDel="00000000" w:rsidR="00000000" w:rsidRPr="00000000">
        <w:rPr>
          <w:rtl w:val="0"/>
        </w:rPr>
        <w:t xml:space="preserve">Contribuciones de investigación.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Dentro del contexto de estas clasificaciones, identificamos los problemas en la investigación existente que necesitan atención por parte de la comunidad investigadora.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Finalmente, se investigará el impacto del estado de la práctica y las futuras direcciones de la investigación.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u w:val="single"/>
        </w:rPr>
      </w:pPr>
      <w:r w:rsidDel="00000000" w:rsidR="00000000" w:rsidRPr="00000000">
        <w:rPr>
          <w:b w:val="1"/>
          <w:u w:val="single"/>
          <w:rtl w:val="0"/>
        </w:rPr>
        <w:t xml:space="preserve">DISEÑO: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El estudio de mapeo sistemático es un método estructurado para proporcionar una visión general de un área de investigación. Este tipo de estudio tiene como objetivo identificar los resultados de investigación publicados que son relevantes.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Además, el estudio clasifica los resultados publicados relevantes de acuerdo con una clasificación definida. Este método se ha recomendado principalmente cuando se encuentra poca evidencia relevante durante el estudio inicial del dominio, o si el tema a investigar es muy amplio.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flujo de trabajo del estudio de mapeo sistemático utilizado en este documento se muestra en la siguiente figura: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ESPECIFICACIÓN DE PREGUNTAS DE INVESTIGACIÓN</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ESPECIFICACIÓN DE LA CADENA DE BÚSQUEDA</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IDENTIFICACIÓN DE FUENTES DE PUBLICACIÓN / BASES DE DATOS</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CRITERIOS DE SELECCIÓN DE ESTUDIO</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MAPEO DE DATOS</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b w:val="1"/>
          <w:u w:val="single"/>
        </w:rPr>
      </w:pPr>
      <w:r w:rsidDel="00000000" w:rsidR="00000000" w:rsidRPr="00000000">
        <w:rPr>
          <w:b w:val="1"/>
          <w:u w:val="single"/>
          <w:rtl w:val="0"/>
        </w:rPr>
        <w:t xml:space="preserve">Diseño: Preguntas de investigación </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El primer paso del estudio sistemático de mapeo, es definir preguntas de investigación concretas. Las respuestas a estas preguntas proporcionan una visión general de los estudios existentes, incluido el número de publicaciones, lugares de publicación y distribución de publicaciones a lo largo de los años en el área de investigación. </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b w:val="1"/>
          <w:u w:val="single"/>
        </w:rPr>
      </w:pPr>
      <w:r w:rsidDel="00000000" w:rsidR="00000000" w:rsidRPr="00000000">
        <w:rPr>
          <w:b w:val="1"/>
          <w:u w:val="single"/>
          <w:rtl w:val="0"/>
        </w:rPr>
        <w:t xml:space="preserve">Diseño: Cadena de búsqueda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Después de definir las preguntas de investigación, el siguiente paso en el estudio de mapeo sistemático es especificar la cadena de búsqueda que se utiliza para buscar publicaciones relevantes en bases de datos conocidas. La cadena de búsqueda se basa en las palabras clave y sus palabras alternativas que están en línea con el objetivo principal de investigación del artículo.</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Utilizamos los operadores booleanos OR y AND para unir las palabras clave y sus sinónimos en la cadena de búsqueda.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