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Commandes</w:t>
      </w:r>
      <w:r>
        <w:t xml:space="preserve"> </w:t>
      </w:r>
      <w:r>
        <w:t xml:space="preserve">de</w:t>
      </w:r>
      <w:r>
        <w:t xml:space="preserve"> </w:t>
      </w:r>
      <w:r>
        <w:t xml:space="preserve">l'explorateur</w:t>
      </w:r>
      <w:r>
        <w:t xml:space="preserve"> </w:t>
      </w:r>
      <w:r>
        <w:t xml:space="preserve">Bitcoin</w:t>
      </w:r>
      <w:r>
        <w:t xml:space="preserve"> </w:t>
      </w:r>
      <w:r>
        <w:t xml:space="preserve">(bx)</w:t>
      </w:r>
    </w:p>
    <w:p>
      <w:pPr>
        <w:pStyle w:val="Date"/>
      </w:pPr>
      <w:r>
        <w:t xml:space="preserve">2022-03-17</w:t>
      </w:r>
    </w:p>
    <w:p>
      <w:pPr>
        <w:pStyle w:val="FirstParagraph"/>
      </w:pPr>
      <w:r>
        <w:t xml:space="preserve">Bitcoin Explorer (bx) est un outil en ligne de commande qui offre une variété de commandes pour la gestion des clés et la construction de transactions. Il fait partie de la bibliothèque libbitcoin bitcoin.</w:t>
      </w:r>
    </w:p>
    <w:p>
      <w:pPr>
        <w:pStyle w:val="SourceCode"/>
      </w:pPr>
      <w:r>
        <w:rPr>
          <w:rStyle w:val="VerbatimChar"/>
        </w:rPr>
        <w:t xml:space="preserve">Utilisation : bx COMMANDE [--help]</w:t>
      </w:r>
      <w:r>
        <w:br/>
      </w:r>
      <w:r>
        <w:br/>
      </w:r>
      <w:r>
        <w:rPr>
          <w:rStyle w:val="VerbatimChar"/>
        </w:rPr>
        <w:t xml:space="preserve">Info : Les commandes bx sont :</w:t>
      </w:r>
      <w:r>
        <w:br/>
      </w:r>
      <w:r>
        <w:br/>
      </w:r>
      <w:r>
        <w:rPr>
          <w:rStyle w:val="VerbatimChar"/>
        </w:rPr>
        <w:t xml:space="preserve">adresse-décoder</w:t>
      </w:r>
      <w:r>
        <w:br/>
      </w:r>
      <w:r>
        <w:rPr>
          <w:rStyle w:val="VerbatimChar"/>
        </w:rPr>
        <w:t xml:space="preserve">adresse intégrée</w:t>
      </w:r>
      <w:r>
        <w:br/>
      </w:r>
      <w:r>
        <w:rPr>
          <w:rStyle w:val="VerbatimChar"/>
        </w:rPr>
        <w:t xml:space="preserve">adresse-encoder</w:t>
      </w:r>
      <w:r>
        <w:br/>
      </w:r>
      <w:r>
        <w:rPr>
          <w:rStyle w:val="VerbatimChar"/>
        </w:rPr>
        <w:t xml:space="preserve">adresse-valider</w:t>
      </w:r>
      <w:r>
        <w:br/>
      </w:r>
      <w:r>
        <w:rPr>
          <w:rStyle w:val="VerbatimChar"/>
        </w:rPr>
        <w:t xml:space="preserve">décodage en base16</w:t>
      </w:r>
      <w:r>
        <w:br/>
      </w:r>
      <w:r>
        <w:rPr>
          <w:rStyle w:val="VerbatimChar"/>
        </w:rPr>
        <w:t xml:space="preserve">encoder en base16</w:t>
      </w:r>
      <w:r>
        <w:br/>
      </w:r>
      <w:r>
        <w:rPr>
          <w:rStyle w:val="VerbatimChar"/>
        </w:rPr>
        <w:t xml:space="preserve">décodage base58</w:t>
      </w:r>
      <w:r>
        <w:br/>
      </w:r>
      <w:r>
        <w:rPr>
          <w:rStyle w:val="VerbatimChar"/>
        </w:rPr>
        <w:t xml:space="preserve">encoder en base58</w:t>
      </w:r>
      <w:r>
        <w:br/>
      </w:r>
      <w:r>
        <w:rPr>
          <w:rStyle w:val="VerbatimChar"/>
        </w:rPr>
        <w:t xml:space="preserve">base58check-décoder</w:t>
      </w:r>
      <w:r>
        <w:br/>
      </w:r>
      <w:r>
        <w:rPr>
          <w:rStyle w:val="VerbatimChar"/>
        </w:rPr>
        <w:t xml:space="preserve">base58check-encoder</w:t>
      </w:r>
      <w:r>
        <w:br/>
      </w:r>
      <w:r>
        <w:rPr>
          <w:rStyle w:val="VerbatimChar"/>
        </w:rPr>
        <w:t xml:space="preserve">décodage base64</w:t>
      </w:r>
      <w:r>
        <w:br/>
      </w:r>
      <w:r>
        <w:rPr>
          <w:rStyle w:val="VerbatimChar"/>
        </w:rPr>
        <w:t xml:space="preserve">encoder en base64</w:t>
      </w:r>
      <w:r>
        <w:br/>
      </w:r>
      <w:r>
        <w:rPr>
          <w:rStyle w:val="VerbatimChar"/>
        </w:rPr>
        <w:t xml:space="preserve">Bitcoin160</w:t>
      </w:r>
      <w:r>
        <w:br/>
      </w:r>
      <w:r>
        <w:rPr>
          <w:rStyle w:val="VerbatimChar"/>
        </w:rPr>
        <w:t xml:space="preserve">Bitcoin256</w:t>
      </w:r>
      <w:r>
        <w:br/>
      </w:r>
      <w:r>
        <w:rPr>
          <w:rStyle w:val="VerbatimChar"/>
        </w:rPr>
        <w:t xml:space="preserve">btc-à-satoshi</w:t>
      </w:r>
      <w:r>
        <w:br/>
      </w:r>
      <w:r>
        <w:rPr>
          <w:rStyle w:val="VerbatimChar"/>
        </w:rPr>
        <w:t xml:space="preserve">ec-add</w:t>
      </w:r>
      <w:r>
        <w:br/>
      </w:r>
      <w:r>
        <w:rPr>
          <w:rStyle w:val="VerbatimChar"/>
        </w:rPr>
        <w:t xml:space="preserve">ec-add-secrets</w:t>
      </w:r>
      <w:r>
        <w:br/>
      </w:r>
      <w:r>
        <w:rPr>
          <w:rStyle w:val="VerbatimChar"/>
        </w:rPr>
        <w:t xml:space="preserve">ec-multiplier</w:t>
      </w:r>
      <w:r>
        <w:br/>
      </w:r>
      <w:r>
        <w:rPr>
          <w:rStyle w:val="VerbatimChar"/>
        </w:rPr>
        <w:t xml:space="preserve">ec-multiplier-secrets</w:t>
      </w:r>
      <w:r>
        <w:br/>
      </w:r>
      <w:r>
        <w:rPr>
          <w:rStyle w:val="VerbatimChar"/>
        </w:rPr>
        <w:t xml:space="preserve">ec-nouveau</w:t>
      </w:r>
      <w:r>
        <w:br/>
      </w:r>
      <w:r>
        <w:rPr>
          <w:rStyle w:val="VerbatimChar"/>
        </w:rPr>
        <w:t xml:space="preserve">ec-to-address</w:t>
      </w:r>
      <w:r>
        <w:br/>
      </w:r>
      <w:r>
        <w:rPr>
          <w:rStyle w:val="VerbatimChar"/>
        </w:rPr>
        <w:t xml:space="preserve">ec-to-public</w:t>
      </w:r>
      <w:r>
        <w:br/>
      </w:r>
      <w:r>
        <w:rPr>
          <w:rStyle w:val="VerbatimChar"/>
        </w:rPr>
        <w:t xml:space="preserve">ec vers wif</w:t>
      </w:r>
      <w:r>
        <w:br/>
      </w:r>
      <w:r>
        <w:rPr>
          <w:rStyle w:val="VerbatimChar"/>
        </w:rPr>
        <w:t xml:space="preserve">récupérer le solde</w:t>
      </w:r>
      <w:r>
        <w:br/>
      </w:r>
      <w:r>
        <w:rPr>
          <w:rStyle w:val="VerbatimChar"/>
        </w:rPr>
        <w:t xml:space="preserve">récupérer l&amp;#39;en-tête</w:t>
      </w:r>
      <w:r>
        <w:br/>
      </w:r>
      <w:r>
        <w:rPr>
          <w:rStyle w:val="VerbatimChar"/>
        </w:rPr>
        <w:t xml:space="preserve">hauteur de récupération</w:t>
      </w:r>
      <w:r>
        <w:br/>
      </w:r>
      <w:r>
        <w:rPr>
          <w:rStyle w:val="VerbatimChar"/>
        </w:rPr>
        <w:t xml:space="preserve">récupérer l&amp;#39;historique</w:t>
      </w:r>
      <w:r>
        <w:br/>
      </w:r>
      <w:r>
        <w:rPr>
          <w:rStyle w:val="VerbatimChar"/>
        </w:rPr>
        <w:t xml:space="preserve">aller chercher furtivement</w:t>
      </w:r>
      <w:r>
        <w:br/>
      </w:r>
      <w:r>
        <w:rPr>
          <w:rStyle w:val="VerbatimChar"/>
        </w:rPr>
        <w:t xml:space="preserve">récupérer-tx</w:t>
      </w:r>
      <w:r>
        <w:br/>
      </w:r>
      <w:r>
        <w:rPr>
          <w:rStyle w:val="VerbatimChar"/>
        </w:rPr>
        <w:t xml:space="preserve">récupérer-tx-index</w:t>
      </w:r>
      <w:r>
        <w:br/>
      </w:r>
      <w:r>
        <w:rPr>
          <w:rStyle w:val="VerbatimChar"/>
        </w:rPr>
        <w:t xml:space="preserve">hd-nouveau</w:t>
      </w:r>
      <w:r>
        <w:br/>
      </w:r>
      <w:r>
        <w:rPr>
          <w:rStyle w:val="VerbatimChar"/>
        </w:rPr>
        <w:t xml:space="preserve">hd-privé</w:t>
      </w:r>
      <w:r>
        <w:br/>
      </w:r>
      <w:r>
        <w:rPr>
          <w:rStyle w:val="VerbatimChar"/>
        </w:rPr>
        <w:t xml:space="preserve">hd-public</w:t>
      </w:r>
      <w:r>
        <w:br/>
      </w:r>
      <w:r>
        <w:rPr>
          <w:rStyle w:val="VerbatimChar"/>
        </w:rPr>
        <w:t xml:space="preserve">hd-to-address</w:t>
      </w:r>
      <w:r>
        <w:br/>
      </w:r>
      <w:r>
        <w:rPr>
          <w:rStyle w:val="VerbatimChar"/>
        </w:rPr>
        <w:t xml:space="preserve">hd-vers-ec</w:t>
      </w:r>
      <w:r>
        <w:br/>
      </w:r>
      <w:r>
        <w:rPr>
          <w:rStyle w:val="VerbatimChar"/>
        </w:rPr>
        <w:t xml:space="preserve">hd-to-public</w:t>
      </w:r>
      <w:r>
        <w:br/>
      </w:r>
      <w:r>
        <w:rPr>
          <w:rStyle w:val="VerbatimChar"/>
        </w:rPr>
        <w:t xml:space="preserve">hd-vers-wif</w:t>
      </w:r>
      <w:r>
        <w:br/>
      </w:r>
      <w:r>
        <w:rPr>
          <w:rStyle w:val="VerbatimChar"/>
        </w:rPr>
        <w:t xml:space="preserve">aider</w:t>
      </w:r>
      <w:r>
        <w:br/>
      </w:r>
      <w:r>
        <w:rPr>
          <w:rStyle w:val="VerbatimChar"/>
        </w:rPr>
        <w:t xml:space="preserve">jeu d&amp;#39;entrées</w:t>
      </w:r>
      <w:r>
        <w:br/>
      </w:r>
      <w:r>
        <w:rPr>
          <w:rStyle w:val="VerbatimChar"/>
        </w:rPr>
        <w:t xml:space="preserve">signe d&amp;#39;entrée</w:t>
      </w:r>
      <w:r>
        <w:br/>
      </w:r>
      <w:r>
        <w:rPr>
          <w:rStyle w:val="VerbatimChar"/>
        </w:rPr>
        <w:t xml:space="preserve">entrée-valider</w:t>
      </w:r>
      <w:r>
        <w:br/>
      </w:r>
      <w:r>
        <w:rPr>
          <w:rStyle w:val="VerbatimChar"/>
        </w:rPr>
        <w:t xml:space="preserve">message-sign</w:t>
      </w:r>
      <w:r>
        <w:br/>
      </w:r>
      <w:r>
        <w:rPr>
          <w:rStyle w:val="VerbatimChar"/>
        </w:rPr>
        <w:t xml:space="preserve">message-valider</w:t>
      </w:r>
      <w:r>
        <w:br/>
      </w:r>
      <w:r>
        <w:rPr>
          <w:rStyle w:val="VerbatimChar"/>
        </w:rPr>
        <w:t xml:space="preserve">décodage mnémonique</w:t>
      </w:r>
      <w:r>
        <w:br/>
      </w:r>
      <w:r>
        <w:rPr>
          <w:rStyle w:val="VerbatimChar"/>
        </w:rPr>
        <w:t xml:space="preserve">mnemonic-encode</w:t>
      </w:r>
      <w:r>
        <w:br/>
      </w:r>
      <w:r>
        <w:rPr>
          <w:rStyle w:val="VerbatimChar"/>
        </w:rPr>
        <w:t xml:space="preserve">mûrmd160</w:t>
      </w:r>
      <w:r>
        <w:br/>
      </w:r>
      <w:r>
        <w:rPr>
          <w:rStyle w:val="VerbatimChar"/>
        </w:rPr>
        <w:t xml:space="preserve">satoshi-to-btc</w:t>
      </w:r>
      <w:r>
        <w:br/>
      </w:r>
      <w:r>
        <w:rPr>
          <w:rStyle w:val="VerbatimChar"/>
        </w:rPr>
        <w:t xml:space="preserve">décodage de script</w:t>
      </w:r>
      <w:r>
        <w:br/>
      </w:r>
      <w:r>
        <w:rPr>
          <w:rStyle w:val="VerbatimChar"/>
        </w:rPr>
        <w:t xml:space="preserve">encodage de script</w:t>
      </w:r>
      <w:r>
        <w:br/>
      </w:r>
      <w:r>
        <w:rPr>
          <w:rStyle w:val="VerbatimChar"/>
        </w:rPr>
        <w:t xml:space="preserve">script vers adresse</w:t>
      </w:r>
      <w:r>
        <w:br/>
      </w:r>
      <w:r>
        <w:rPr>
          <w:rStyle w:val="VerbatimChar"/>
        </w:rPr>
        <w:t xml:space="preserve">planter</w:t>
      </w:r>
      <w:r>
        <w:br/>
      </w:r>
      <w:r>
        <w:rPr>
          <w:rStyle w:val="VerbatimChar"/>
        </w:rPr>
        <w:t xml:space="preserve">envoyer-tx</w:t>
      </w:r>
      <w:r>
        <w:br/>
      </w:r>
      <w:r>
        <w:rPr>
          <w:rStyle w:val="VerbatimChar"/>
        </w:rPr>
        <w:t xml:space="preserve">envoyer-tx-nœud</w:t>
      </w:r>
      <w:r>
        <w:br/>
      </w:r>
      <w:r>
        <w:rPr>
          <w:rStyle w:val="VerbatimChar"/>
        </w:rPr>
        <w:t xml:space="preserve">envoyer-tx-p2p</w:t>
      </w:r>
      <w:r>
        <w:br/>
      </w:r>
      <w:r>
        <w:rPr>
          <w:rStyle w:val="VerbatimChar"/>
        </w:rPr>
        <w:t xml:space="preserve">réglages</w:t>
      </w:r>
      <w:r>
        <w:br/>
      </w:r>
      <w:r>
        <w:rPr>
          <w:rStyle w:val="VerbatimChar"/>
        </w:rPr>
        <w:t xml:space="preserve">sha160</w:t>
      </w:r>
      <w:r>
        <w:br/>
      </w:r>
      <w:r>
        <w:rPr>
          <w:rStyle w:val="VerbatimChar"/>
        </w:rPr>
        <w:t xml:space="preserve">sha256</w:t>
      </w:r>
      <w:r>
        <w:br/>
      </w:r>
      <w:r>
        <w:rPr>
          <w:rStyle w:val="VerbatimChar"/>
        </w:rPr>
        <w:t xml:space="preserve">sha512</w:t>
      </w:r>
      <w:r>
        <w:br/>
      </w:r>
      <w:r>
        <w:rPr>
          <w:rStyle w:val="VerbatimChar"/>
        </w:rPr>
        <w:t xml:space="preserve">décodage furtif</w:t>
      </w:r>
      <w:r>
        <w:br/>
      </w:r>
      <w:r>
        <w:rPr>
          <w:rStyle w:val="VerbatimChar"/>
        </w:rPr>
        <w:t xml:space="preserve">encodage furtif</w:t>
      </w:r>
      <w:r>
        <w:br/>
      </w:r>
      <w:r>
        <w:rPr>
          <w:rStyle w:val="VerbatimChar"/>
        </w:rPr>
        <w:t xml:space="preserve">furtif-public</w:t>
      </w:r>
      <w:r>
        <w:br/>
      </w:r>
      <w:r>
        <w:rPr>
          <w:rStyle w:val="VerbatimChar"/>
        </w:rPr>
        <w:t xml:space="preserve">secret-furtif</w:t>
      </w:r>
      <w:r>
        <w:br/>
      </w:r>
      <w:r>
        <w:rPr>
          <w:rStyle w:val="VerbatimChar"/>
        </w:rPr>
        <w:t xml:space="preserve">furtivement partagé</w:t>
      </w:r>
      <w:r>
        <w:br/>
      </w:r>
      <w:r>
        <w:rPr>
          <w:rStyle w:val="VerbatimChar"/>
        </w:rPr>
        <w:t xml:space="preserve">décodage tx</w:t>
      </w:r>
      <w:r>
        <w:br/>
      </w:r>
      <w:r>
        <w:rPr>
          <w:rStyle w:val="VerbatimChar"/>
        </w:rPr>
        <w:t xml:space="preserve">tx-encoder</w:t>
      </w:r>
      <w:r>
        <w:br/>
      </w:r>
      <w:r>
        <w:rPr>
          <w:rStyle w:val="VerbatimChar"/>
        </w:rPr>
        <w:t xml:space="preserve">décodage uri</w:t>
      </w:r>
      <w:r>
        <w:br/>
      </w:r>
      <w:r>
        <w:rPr>
          <w:rStyle w:val="VerbatimChar"/>
        </w:rPr>
        <w:t xml:space="preserve">uri-encoder</w:t>
      </w:r>
      <w:r>
        <w:br/>
      </w:r>
      <w:r>
        <w:rPr>
          <w:rStyle w:val="VerbatimChar"/>
        </w:rPr>
        <w:t xml:space="preserve">valider-tx</w:t>
      </w:r>
      <w:r>
        <w:br/>
      </w:r>
      <w:r>
        <w:rPr>
          <w:rStyle w:val="VerbatimChar"/>
        </w:rPr>
        <w:t xml:space="preserve">adresse de la montre</w:t>
      </w:r>
      <w:r>
        <w:br/>
      </w:r>
      <w:r>
        <w:rPr>
          <w:rStyle w:val="VerbatimChar"/>
        </w:rPr>
        <w:t xml:space="preserve">wif-à-ec</w:t>
      </w:r>
      <w:r>
        <w:br/>
      </w:r>
      <w:r>
        <w:rPr>
          <w:rStyle w:val="VerbatimChar"/>
        </w:rPr>
        <w:t xml:space="preserve">wif-au-public</w:t>
      </w:r>
      <w:r>
        <w:br/>
      </w:r>
      <w:r>
        <w:rPr>
          <w:rStyle w:val="VerbatimChar"/>
        </w:rPr>
        <w:t xml:space="preserve">décodage enveloppant</w:t>
      </w:r>
      <w:r>
        <w:br/>
      </w:r>
      <w:r>
        <w:rPr>
          <w:rStyle w:val="VerbatimChar"/>
        </w:rPr>
        <w:t xml:space="preserve">envelopper-encoder</w:t>
      </w:r>
    </w:p>
    <w:p>
      <w:pPr>
        <w:pStyle w:val="FirstParagraph"/>
      </w:pPr>
      <w:r>
        <w:t xml:space="preserve">Pour plus d'informations, consultez la</w:t>
      </w:r>
      <w:r>
        <w:t xml:space="preserve"> </w:t>
      </w:r>
      <w:hyperlink r:id="rId20">
        <w:r>
          <w:rPr>
            <w:rStyle w:val="Hyperlink"/>
          </w:rPr>
          <w:t xml:space="preserve">Bitcoin Explorer homepage</w:t>
        </w:r>
      </w:hyperlink>
      <w:r>
        <w:t xml:space="preserve"> </w:t>
      </w:r>
      <w:r>
        <w:t xml:space="preserve">et</w:t>
      </w:r>
      <w:r>
        <w:t xml:space="preserve"> </w:t>
      </w:r>
      <w:hyperlink r:id="rId21">
        <w:r>
          <w:rPr>
            <w:rStyle w:val="Hyperlink"/>
          </w:rPr>
          <w:t xml:space="preserve">Bitcoin Explorer user documentation</w:t>
        </w:r>
      </w:hyperlink>
      <w:r>
        <w:t xml:space="preserve">.</w:t>
      </w:r>
    </w:p>
    <w:bookmarkStart w:id="22" w:name="Xba9c751ca807e3b739434f0f4d5ab425ee3082f"/>
    <w:p>
      <w:pPr>
        <w:pStyle w:val="Heading1"/>
      </w:pPr>
      <w:r>
        <w:t xml:space="preserve">Exemples d'utilisation de la commande bx</w:t>
      </w:r>
    </w:p>
    <w:p>
      <w:pPr>
        <w:pStyle w:val="FirstParagraph"/>
      </w:pPr>
      <w:r>
        <w:t xml:space="preserve">Regardons quelques exemples d'utilisation des commandes Bitcoin Explorer pour expérimenter avec des clés et des adresses.</w:t>
      </w:r>
    </w:p>
    <w:p>
      <w:pPr>
        <w:pStyle w:val="BodyText"/>
      </w:pPr>
      <w:r>
        <w:t xml:space="preserve">Générez une valeur "seed" aléatoire à l'aide de la commande seed, qui utilise le générateur de nombres aléatoires du système d'exploitation. Transmettez la graine à la commande ec-new pour générer une nouvelle clé privée. Nous sauvegardons la sortie standard dans le fichier</w:t>
      </w:r>
      <w:r>
        <w:t xml:space="preserve"> </w:t>
      </w:r>
      <w:r>
        <w:rPr>
          <w:iCs/>
          <w:i/>
        </w:rPr>
        <w:t xml:space="preserve">private_key</w:t>
      </w:r>
      <w:r>
        <w:t xml:space="preserve"> :</w:t>
      </w:r>
    </w:p>
    <w:p>
      <w:pPr>
        <w:pStyle w:val="SourceCode"/>
      </w:pPr>
      <w:r>
        <w:rPr>
          <w:rStyle w:val="VerbatimChar"/>
        </w:rPr>
        <w:t xml:space="preserve">$ bx semence | bx ec-new &amp;gt; clé_privée</w:t>
      </w:r>
      <w:r>
        <w:br/>
      </w:r>
      <w:r>
        <w:rPr>
          <w:rStyle w:val="VerbatimChar"/>
        </w:rPr>
        <w:t xml:space="preserve">$ chat clé_privée</w:t>
      </w:r>
      <w:r>
        <w:br/>
      </w:r>
      <w:r>
        <w:rPr>
          <w:rStyle w:val="VerbatimChar"/>
        </w:rPr>
        <w:t xml:space="preserve">73096ed11ab9f1db6135857958ece7d73ea7c30862145bcc4bbc7649075de474</w:t>
      </w:r>
    </w:p>
    <w:p>
      <w:pPr>
        <w:pStyle w:val="FirstParagraph"/>
      </w:pPr>
      <w:r>
        <w:t xml:space="preserve">Maintenant, générez la clé publique à partir de cette clé privée à l'aide de la commande ec-to-public. Nous passons le fichier</w:t>
      </w:r>
      <w:r>
        <w:t xml:space="preserve"> </w:t>
      </w:r>
      <w:r>
        <w:rPr>
          <w:iCs/>
          <w:i/>
        </w:rPr>
        <w:t xml:space="preserve">private_key</w:t>
      </w:r>
      <w:r>
        <w:t xml:space="preserve"> </w:t>
      </w:r>
      <w:r>
        <w:t xml:space="preserve">dans l'entrée standard et enregistrons la sortie standard de la commande dans un nouveau fichier</w:t>
      </w:r>
      <w:r>
        <w:t xml:space="preserve"> </w:t>
      </w:r>
      <w:r>
        <w:rPr>
          <w:iCs/>
          <w:i/>
        </w:rPr>
        <w:t xml:space="preserve">public_key</w:t>
      </w:r>
      <w:r>
        <w:t xml:space="preserve"> </w:t>
      </w:r>
      <w:r>
        <w:t xml:space="preserve">:</w:t>
      </w:r>
    </w:p>
    <w:p>
      <w:pPr>
        <w:pStyle w:val="SourceCode"/>
      </w:pPr>
      <w:r>
        <w:rPr>
          <w:rStyle w:val="VerbatimChar"/>
        </w:rPr>
        <w:t xml:space="preserve">$ bx ec-to-public &amp;lt; clé_privée &amp;gt; clé_publique</w:t>
      </w:r>
      <w:r>
        <w:br/>
      </w:r>
      <w:r>
        <w:rPr>
          <w:rStyle w:val="VerbatimChar"/>
        </w:rPr>
        <w:t xml:space="preserve">$ cat public_key</w:t>
      </w:r>
      <w:r>
        <w:br/>
      </w:r>
      <w:r>
        <w:rPr>
          <w:rStyle w:val="VerbatimChar"/>
        </w:rPr>
        <w:t xml:space="preserve">02fca46a6006a62dfdd2dbb2149359d0d97a04f430f12a7626dd409256c12be500</w:t>
      </w:r>
    </w:p>
    <w:p>
      <w:pPr>
        <w:pStyle w:val="FirstParagraph"/>
      </w:pPr>
      <w:r>
        <w:t xml:space="preserve">Nous pouvons reformater la public_key en tant qu'adresse à l'aide de la commande ec-to-address. Nous passons la</w:t>
      </w:r>
      <w:r>
        <w:t xml:space="preserve"> </w:t>
      </w:r>
      <w:r>
        <w:rPr>
          <w:iCs/>
          <w:i/>
        </w:rPr>
        <w:t xml:space="preserve">clé_publique</w:t>
      </w:r>
      <w:r>
        <w:t xml:space="preserve"> </w:t>
      </w:r>
      <w:r>
        <w:t xml:space="preserve">dans l'entrée standard :</w:t>
      </w:r>
    </w:p>
    <w:p>
      <w:pPr>
        <w:pStyle w:val="SourceCode"/>
      </w:pPr>
      <w:r>
        <w:rPr>
          <w:rStyle w:val="VerbatimChar"/>
        </w:rPr>
        <w:t xml:space="preserve">$ bx ec-to-address &amp;lt; public_key</w:t>
      </w:r>
      <w:r>
        <w:br/>
      </w:r>
      <w:r>
        <w:rPr>
          <w:rStyle w:val="VerbatimChar"/>
        </w:rPr>
        <w:t xml:space="preserve">17re1S4Q8ZHyCP8Kw7xQad1Lr6XUzWUnkG</w:t>
      </w:r>
    </w:p>
    <w:p>
      <w:pPr>
        <w:pStyle w:val="FirstParagraph"/>
      </w:pPr>
      <w:r>
        <w:t xml:space="preserve">Les clés générées de cette manière produisent un portefeuille non déterministe de type 0. Cela signifie que chaque clé est générée à partir d'une graine indépendante. Les commandes de Bitcoin Explorer peuvent également générer des clés de manière déterministe, conformément au BIP-32. Dans ce cas, une clé "maître" est créée à partir d'une graine, puis étendue de manière déterministe pour produire un arbre de sous-clés, résultant en un portefeuille déterministe de type 2.</w:t>
      </w:r>
    </w:p>
    <w:p>
      <w:pPr>
        <w:pStyle w:val="BodyText"/>
      </w:pPr>
      <w:r>
        <w:t xml:space="preserve">Tout d'abord, nous utilisons les commandes seed et hd-new pour générer une clé principale qui servira de base pour dériver une hiérarchie de clés :</w:t>
      </w:r>
    </w:p>
    <w:p>
      <w:pPr>
        <w:pStyle w:val="SourceCode"/>
      </w:pPr>
      <w:r>
        <w:rPr>
          <w:rStyle w:val="VerbatimChar"/>
        </w:rPr>
        <w:t xml:space="preserve">$ bx graine &amp;gt; graine</w:t>
      </w:r>
      <w:r>
        <w:br/>
      </w:r>
      <w:r>
        <w:rPr>
          <w:rStyle w:val="VerbatimChar"/>
        </w:rPr>
        <w:t xml:space="preserve">$ graines de chat</w:t>
      </w:r>
      <w:r>
        <w:br/>
      </w:r>
      <w:r>
        <w:rPr>
          <w:rStyle w:val="VerbatimChar"/>
        </w:rPr>
        <w:t xml:space="preserve">eb68ee9f3df6bd4441a9feadec179ff1</w:t>
      </w:r>
      <w:r>
        <w:br/>
      </w:r>
      <w:r>
        <w:br/>
      </w:r>
      <w:r>
        <w:rPr>
          <w:rStyle w:val="VerbatimChar"/>
        </w:rPr>
        <w:t xml:space="preserve">$ bx hd-new &amp;lt; graine &amp;gt; maître</w:t>
      </w:r>
      <w:r>
        <w:br/>
      </w:r>
      <w:r>
        <w:rPr>
          <w:rStyle w:val="VerbatimChar"/>
        </w:rPr>
        <w:t xml:space="preserve">$ maître de chat</w:t>
      </w:r>
      <w:r>
        <w:br/>
      </w:r>
      <w:r>
        <w:rPr>
          <w:rStyle w:val="VerbatimChar"/>
        </w:rPr>
        <w:t xml:space="preserve">xprv9s21ZrQH143K2BEhMYpNQouvAgiEjArAVaZaCTgsaGe6LsAnwubeiTcDzd23mAoyizm9cApe51gNfLMkBqkYoWWMCRwzfuJk8RwF1SVEpAQ</w:t>
      </w:r>
    </w:p>
    <w:p>
      <w:pPr>
        <w:pStyle w:val="FirstParagraph"/>
      </w:pPr>
      <w:r>
        <w:t xml:space="preserve">Nous utilisons maintenant la commande hd-private pour générer une clé de "compte" renforcée et une séquence de deux clés privées au sein du compte :</w:t>
      </w:r>
    </w:p>
    <w:p>
      <w:pPr>
        <w:pStyle w:val="SourceCode"/>
      </w:pPr>
      <w:r>
        <w:rPr>
          <w:rStyle w:val="VerbatimChar"/>
        </w:rPr>
        <w:t xml:space="preserve">$ bx hd-private --hard &amp;lt; maître &amp;gt; compte</w:t>
      </w:r>
      <w:r>
        <w:br/>
      </w:r>
      <w:r>
        <w:rPr>
          <w:rStyle w:val="VerbatimChar"/>
        </w:rPr>
        <w:t xml:space="preserve">compte chat en $</w:t>
      </w:r>
      <w:r>
        <w:br/>
      </w:r>
      <w:r>
        <w:rPr>
          <w:rStyle w:val="VerbatimChar"/>
        </w:rPr>
        <w:t xml:space="preserve">xprv9vkDLt81dTKjwHB8fsVB5QK8cGnzveChzSrtCfvu3aMWvQaThp59ueufuyQ8Qi3qpjk4aKsbmbfxwcgS8PYbgoR2NWHeLyvg4DhoEE68A1n</w:t>
      </w:r>
      <w:r>
        <w:br/>
      </w:r>
      <w:r>
        <w:br/>
      </w:r>
      <w:r>
        <w:rPr>
          <w:rStyle w:val="VerbatimChar"/>
        </w:rPr>
        <w:t xml:space="preserve">$ bx hd-privé --index 0 &amp;lt; compte</w:t>
      </w:r>
      <w:r>
        <w:br/>
      </w:r>
      <w:r>
        <w:rPr>
          <w:rStyle w:val="VerbatimChar"/>
        </w:rPr>
        <w:t xml:space="preserve">xprv9xHfb6w1vX9xgZyPNXVgAhPxSsEkeRcPHEUV5iJcVEsuUEACvR3NRY3fpGhcnBiDbvG4LgndirDsia1e9F3DWPkX7Tp1V1u97HKG1FJwUpU</w:t>
      </w:r>
      <w:r>
        <w:br/>
      </w:r>
      <w:r>
        <w:br/>
      </w:r>
      <w:r>
        <w:rPr>
          <w:rStyle w:val="VerbatimChar"/>
        </w:rPr>
        <w:t xml:space="preserve">$ bx hd-privé --index 1 &amp;lt; compte</w:t>
      </w:r>
      <w:r>
        <w:br/>
      </w:r>
      <w:r>
        <w:rPr>
          <w:rStyle w:val="VerbatimChar"/>
        </w:rPr>
        <w:t xml:space="preserve">xprv9xHfb6w1vX9xjc8XbN4GN86jzNAZ6xHEqYxzbLB4fzHFd6VqCLPGRZFsdjsuMVERadbgDbziCRJru9n6tzEWrASVpEdrZrFidt1RDfn4yA3</w:t>
      </w:r>
    </w:p>
    <w:p>
      <w:pPr>
        <w:pStyle w:val="FirstParagraph"/>
      </w:pPr>
      <w:r>
        <w:t xml:space="preserve">Ensuite, nous utilisons la commande hd-public pour générer la séquence correspondante de deux clés publiques :</w:t>
      </w:r>
    </w:p>
    <w:p>
      <w:pPr>
        <w:pStyle w:val="SourceCode"/>
      </w:pPr>
      <w:r>
        <w:rPr>
          <w:rStyle w:val="VerbatimChar"/>
        </w:rPr>
        <w:t xml:space="preserve">$ bx hd-public --index 0 &amp;lt; compte</w:t>
      </w:r>
      <w:r>
        <w:br/>
      </w:r>
      <w:r>
        <w:rPr>
          <w:rStyle w:val="VerbatimChar"/>
        </w:rPr>
        <w:t xml:space="preserve">xpub6BH1zcTuktiFu43rUZ2gXqLgzu5F3tLEeTQ5t6iE3aQtM2VMTxMcyLN9fYHiGhGpQe9QQYmqL2eYPFJ3vezHz5wzaSW4FiGrseNDR4LKqTy</w:t>
      </w:r>
      <w:r>
        <w:br/>
      </w:r>
      <w:r>
        <w:br/>
      </w:r>
      <w:r>
        <w:rPr>
          <w:rStyle w:val="VerbatimChar"/>
        </w:rPr>
        <w:t xml:space="preserve">$ bx hd-public --index 1 &amp;lt; compte</w:t>
      </w:r>
      <w:r>
        <w:br/>
      </w:r>
      <w:r>
        <w:rPr>
          <w:rStyle w:val="VerbatimChar"/>
        </w:rPr>
        <w:t xml:space="preserve">xpub6BH1zcTuktiFx6CzhPbGjG3UYQ13WR16CmtbPiagEKpEVtpyjshWyMaMV1cn7nUPUkgQHPVXJVqsrA8xWbGQDhohEcDFTEYMvYzwRD7Juf8</w:t>
      </w:r>
    </w:p>
    <w:p>
      <w:pPr>
        <w:pStyle w:val="FirstParagraph"/>
      </w:pPr>
      <w:r>
        <w:t xml:space="preserve">Les clés publiques peuvent également être dérivées de leurs clés privées correspondantes à l'aide de la commande hd-to-public :</w:t>
      </w:r>
    </w:p>
    <w:p>
      <w:pPr>
        <w:pStyle w:val="SourceCode"/>
      </w:pPr>
      <w:r>
        <w:rPr>
          <w:rStyle w:val="VerbatimChar"/>
        </w:rPr>
        <w:t xml:space="preserve">$ bx hd-privé --index 0 &amp;lt; compte | bx hd-to-public</w:t>
      </w:r>
      <w:r>
        <w:br/>
      </w:r>
      <w:r>
        <w:rPr>
          <w:rStyle w:val="VerbatimChar"/>
        </w:rPr>
        <w:t xml:space="preserve">xpub6BH1zcTuktiFu43rUZ2gXqLgzu5F3tLEeTQ5t6iE3aQtM2VMTxMcyLN9fYHiGhGpQe9QQYmqL2eYPFJ3vezHz5wzaSW4FiGrseNDR4LKqTy</w:t>
      </w:r>
      <w:r>
        <w:br/>
      </w:r>
      <w:r>
        <w:br/>
      </w:r>
      <w:r>
        <w:rPr>
          <w:rStyle w:val="VerbatimChar"/>
        </w:rPr>
        <w:t xml:space="preserve">$ bx hd-privé --index 1 &amp;lt; compte | bx hd-to-public</w:t>
      </w:r>
      <w:r>
        <w:br/>
      </w:r>
      <w:r>
        <w:rPr>
          <w:rStyle w:val="VerbatimChar"/>
        </w:rPr>
        <w:t xml:space="preserve">xpub6BH1zcTuktiFx6CzhPbGjG3UYQ13WR16CmtbPiagEKpEVtpyjshWyMaMV1cn7nUPUkgQHPVXJVqsrA8xWbGQDhohEcDFTEYMvYzwRD7Juf8</w:t>
      </w:r>
    </w:p>
    <w:p>
      <w:pPr>
        <w:pStyle w:val="FirstParagraph"/>
      </w:pPr>
      <w:r>
        <w:t xml:space="preserve">Nous pouvons générer un nombre pratiquement illimité de clés dans une chaîne déterministe, toutes dérivées d'une seule graine. Cette technique est utilisée dans de nombreuses applications de portefeuille pour générer des clés qui peuvent être sauvegardées et restaurées avec une seule valeur de départ. C'est plus facile que d'avoir à sauvegarder le portefeuille avec toutes ses clés générées de manière aléatoire à chaque fois qu'une nouvelle clé est créée.</w:t>
      </w:r>
    </w:p>
    <w:p>
      <w:pPr>
        <w:pStyle w:val="BodyText"/>
      </w:pPr>
      <w:r>
        <w:t xml:space="preserve">La graine peut être encodée à l'aide de la commande mnemonic-encode :</w:t>
      </w:r>
    </w:p>
    <w:p>
      <w:pPr>
        <w:pStyle w:val="SourceCode"/>
      </w:pPr>
      <w:r>
        <w:rPr>
          <w:rStyle w:val="VerbatimChar"/>
        </w:rPr>
        <w:t xml:space="preserve">$ bx hd-mnemonic &amp;lt; graine &amp;gt; mots</w:t>
      </w:r>
      <w:r>
        <w:br/>
      </w:r>
      <w:r>
        <w:rPr>
          <w:rStyle w:val="VerbatimChar"/>
        </w:rPr>
        <w:t xml:space="preserve">adorent répéter la pire vision, en particulier les pouces du voile, femme, rappel de la distribution, apprécient</w:t>
      </w:r>
    </w:p>
    <w:p>
      <w:pPr>
        <w:pStyle w:val="FirstParagraph"/>
      </w:pPr>
      <w:r>
        <w:t xml:space="preserve">La graine peut ensuite être décodée à l'aide de la commande mnemonic-decode :</w:t>
      </w:r>
    </w:p>
    <w:p>
      <w:pPr>
        <w:pStyle w:val="SourceCode"/>
      </w:pPr>
      <w:r>
        <w:rPr>
          <w:rStyle w:val="VerbatimChar"/>
        </w:rPr>
        <w:t xml:space="preserve">$ bx décodage-mnémonique &amp;lt; mots</w:t>
      </w:r>
      <w:r>
        <w:br/>
      </w:r>
      <w:r>
        <w:rPr>
          <w:rStyle w:val="VerbatimChar"/>
        </w:rPr>
        <w:t xml:space="preserve">eb68ee9f3df6bd4441a9feadec179ff1</w:t>
      </w:r>
    </w:p>
    <w:p>
      <w:pPr>
        <w:pStyle w:val="FirstParagraph"/>
      </w:pPr>
      <w:r>
        <w:t xml:space="preserve">L'encodage mnémonique peut faciliter l'enregistrement et même la mémorisation de la graine.</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github.com/libbitcoin/libbitcoin-explorer" TargetMode="External" /><Relationship Type="http://schemas.openxmlformats.org/officeDocument/2006/relationships/hyperlink" Id="rId21" Target="https://github.com/libbitcoin/libbitcoin-explorer/wiki"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libbitcoin/libbitcoin-explorer" TargetMode="External" /><Relationship Type="http://schemas.openxmlformats.org/officeDocument/2006/relationships/hyperlink" Id="rId21" Target="https://github.com/libbitcoin/libbitcoin-explorer/wik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Commandes de l'explorateur Bitcoin (bx)</dc:title>
  <dc:creator/>
  <cp:keywords/>
  <dcterms:created xsi:type="dcterms:W3CDTF">2022-03-17T14:40:52Z</dcterms:created>
  <dcterms:modified xsi:type="dcterms:W3CDTF">2022-03-17T14:40:52Z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2022-03-17</vt:lpwstr>
  </property>
</Properties>
</file>