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CFD816D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1A5B9A20" w:rsidR="009B5E19" w:rsidRP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E14E183" w:rsidR="004927EC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4DC4755C" w14:textId="1FD9D588" w:rsidR="00953148" w:rsidRPr="003271F6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05428BC" w14:textId="72339ACE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5C2BF46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48B759FD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5D295A47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g'+r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7283F888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097E2772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6602944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(3)</m:t>
          </m:r>
        </m:oMath>
      </m:oMathPara>
    </w:p>
    <w:p w14:paraId="39794986" w14:textId="1C408BE9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79F7A22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z⟹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14D30DB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Алгоритм Бухбергера и его усовершенствования.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10681DCE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}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4989278A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2AA7ACA" w:rsidR="006F6D00" w:rsidRPr="00987034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полиномов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77777777" w:rsidR="00BD7301" w:rsidRPr="004A651E" w:rsidRDefault="00BD7301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8" w:name="_GoBack"/>
      <w:bookmarkEnd w:id="8"/>
    </w:p>
    <w:sectPr w:rsidR="00BD7301" w:rsidRPr="004A651E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27"/>
  </w:num>
  <w:num w:numId="6">
    <w:abstractNumId w:val="24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2"/>
  </w:num>
  <w:num w:numId="14">
    <w:abstractNumId w:val="28"/>
  </w:num>
  <w:num w:numId="15">
    <w:abstractNumId w:val="21"/>
  </w:num>
  <w:num w:numId="16">
    <w:abstractNumId w:val="20"/>
  </w:num>
  <w:num w:numId="17">
    <w:abstractNumId w:val="10"/>
  </w:num>
  <w:num w:numId="18">
    <w:abstractNumId w:val="26"/>
  </w:num>
  <w:num w:numId="19">
    <w:abstractNumId w:val="9"/>
  </w:num>
  <w:num w:numId="20">
    <w:abstractNumId w:val="2"/>
  </w:num>
  <w:num w:numId="21">
    <w:abstractNumId w:val="7"/>
  </w:num>
  <w:num w:numId="22">
    <w:abstractNumId w:val="25"/>
  </w:num>
  <w:num w:numId="23">
    <w:abstractNumId w:val="18"/>
  </w:num>
  <w:num w:numId="24">
    <w:abstractNumId w:val="23"/>
  </w:num>
  <w:num w:numId="25">
    <w:abstractNumId w:val="4"/>
  </w:num>
  <w:num w:numId="26">
    <w:abstractNumId w:val="12"/>
  </w:num>
  <w:num w:numId="27">
    <w:abstractNumId w:val="1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B6A0F"/>
    <w:rsid w:val="000C051A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B6F58"/>
    <w:rsid w:val="001E59B0"/>
    <w:rsid w:val="001F0850"/>
    <w:rsid w:val="001F729F"/>
    <w:rsid w:val="00250912"/>
    <w:rsid w:val="00264317"/>
    <w:rsid w:val="002B4CBA"/>
    <w:rsid w:val="002C6FF7"/>
    <w:rsid w:val="002D3AD8"/>
    <w:rsid w:val="002D6C99"/>
    <w:rsid w:val="002E3470"/>
    <w:rsid w:val="003271F6"/>
    <w:rsid w:val="00347FC9"/>
    <w:rsid w:val="00370E11"/>
    <w:rsid w:val="0038093C"/>
    <w:rsid w:val="003D1266"/>
    <w:rsid w:val="003D24D9"/>
    <w:rsid w:val="003D7A64"/>
    <w:rsid w:val="003F26AF"/>
    <w:rsid w:val="003F296A"/>
    <w:rsid w:val="003F4634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1092D"/>
    <w:rsid w:val="005142CB"/>
    <w:rsid w:val="00514DFC"/>
    <w:rsid w:val="00522106"/>
    <w:rsid w:val="00530ACD"/>
    <w:rsid w:val="005354B8"/>
    <w:rsid w:val="00536A8E"/>
    <w:rsid w:val="00546206"/>
    <w:rsid w:val="00592FB9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A1924"/>
    <w:rsid w:val="006B0996"/>
    <w:rsid w:val="006C4906"/>
    <w:rsid w:val="006E50E9"/>
    <w:rsid w:val="006F2D95"/>
    <w:rsid w:val="006F6D00"/>
    <w:rsid w:val="0073447A"/>
    <w:rsid w:val="0074139D"/>
    <w:rsid w:val="007465BD"/>
    <w:rsid w:val="00786328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4AA5"/>
    <w:rsid w:val="009264DB"/>
    <w:rsid w:val="00943F36"/>
    <w:rsid w:val="00953148"/>
    <w:rsid w:val="009562DA"/>
    <w:rsid w:val="00976A47"/>
    <w:rsid w:val="00984C57"/>
    <w:rsid w:val="00987034"/>
    <w:rsid w:val="009972A8"/>
    <w:rsid w:val="009B5E19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37F9F"/>
    <w:rsid w:val="00C43DDB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449D0"/>
    <w:rsid w:val="00D712C1"/>
    <w:rsid w:val="00D80E3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7041"/>
    <w:rsid w:val="00EF273D"/>
    <w:rsid w:val="00F10306"/>
    <w:rsid w:val="00F15ABF"/>
    <w:rsid w:val="00F21A60"/>
    <w:rsid w:val="00F518EA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13A1-1019-49DF-AB95-CF21BAB6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33</Pages>
  <Words>8454</Words>
  <Characters>48188</Characters>
  <Application>Microsoft Office Word</Application>
  <DocSecurity>0</DocSecurity>
  <Lines>401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77</cp:revision>
  <dcterms:created xsi:type="dcterms:W3CDTF">2020-04-12T09:12:00Z</dcterms:created>
  <dcterms:modified xsi:type="dcterms:W3CDTF">2020-05-31T14:10:00Z</dcterms:modified>
</cp:coreProperties>
</file>