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SWOT ANALYSIS</w:t>
      </w:r>
    </w:p>
    <w:p>
      <w:pPr>
        <w:spacing w:after="60" w:before="60"/>
        <w:jc w:val="center"/>
      </w:pPr>
      <w:r>
        <w:rPr>
          <w:rFonts w:ascii="Arial" w:cs="Arial" w:eastAsia="Arial" w:hAnsi="Arial"/>
          <w:b/>
          <w:bCs/>
          <w:color w:val="2E75B6"/>
          <w:sz w:val="36"/>
          <w:szCs w:val="36"/>
        </w:rPr>
        <w:t xml:space="preserve">Interactive AI Interview Simulation System (IISS)</w:t>
      </w:r>
    </w:p>
    <w:p>
      <w:pPr>
        <w:spacing w:after="60" w:before="60"/>
        <w:jc w:val="center"/>
      </w:pPr>
      <w:r>
        <w:rPr>
          <w:rFonts w:ascii="Arial" w:cs="Arial" w:eastAsia="Arial" w:hAnsi="Arial"/>
          <w:i/>
          <w:iCs/>
          <w:color w:val="2E75B6"/>
          <w:sz w:val="24"/>
          <w:szCs w:val="24"/>
        </w:rPr>
        <w:t xml:space="preserve">Strategic Assessment of the IISS Platform</w:t>
      </w:r>
    </w:p>
    <w:p>
      <w:pPr>
        <w:spacing w:after="60" w:before="60"/>
        <w:jc w:val="center"/>
      </w:pPr>
      <w:r>
        <w:rPr>
          <w:rFonts w:ascii="Arial" w:cs="Arial" w:eastAsia="Arial" w:hAnsi="Arial"/>
          <w:color w:val="404040"/>
          <w:sz w:val="22"/>
          <w:szCs w:val="22"/>
        </w:rPr>
        <w:t xml:space="preserve">Future University in Egypt  |  Faculty of Computers and Information Technology</w:t>
      </w:r>
    </w:p>
    <w:p>
      <w:pPr>
        <w:spacing w:after="60" w:before="60"/>
        <w:jc w:val="center"/>
      </w:pPr>
      <w:r>
        <w:rPr>
          <w:rFonts w:ascii="Arial" w:cs="Arial" w:eastAsia="Arial" w:hAnsi="Arial"/>
          <w:color w:val="404040"/>
          <w:sz w:val="22"/>
          <w:szCs w:val="22"/>
        </w:rPr>
        <w:t xml:space="preserve">Course: CS453 / ISI324 – Software Project Management  |  Spring 2026</w:t>
      </w:r>
    </w:p>
    <w:p>
      <w:pPr>
        <w:spacing w:after="600" w:before="120"/>
        <w:jc w:val="center"/>
      </w:pPr>
      <w:r>
        <w:rPr>
          <w:rFonts w:ascii="Arial" w:cs="Arial" w:eastAsia="Arial" w:hAnsi="Arial"/>
          <w:color w:val="404040"/>
          <w:sz w:val="22"/>
          <w:szCs w:val="22"/>
        </w:rPr>
        <w:t xml:space="preserve">Prepared by: IISS Project Team  |  Date: May 2026</w:t>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1. Introduction</w:t>
      </w:r>
    </w:p>
    <w:p>
      <w:pPr>
        <w:spacing w:after="120" w:before="80"/>
      </w:pPr>
      <w:r>
        <w:rPr>
          <w:rFonts w:ascii="Arial" w:cs="Arial" w:eastAsia="Arial" w:hAnsi="Arial"/>
          <w:color w:val="404040"/>
          <w:sz w:val="22"/>
          <w:szCs w:val="22"/>
        </w:rPr>
        <w:t xml:space="preserve">This SWOT Analysis provides a structured strategic assessment of the Interactive AI Interview Simulation System (IISS) platform across four dimensions: internal Strengths and Weaknesses that the project team controls, and external Opportunities and Threats present in the operating environment. This analysis informs risk mitigation planning, strategic positioning decisions, and feature prioritization. It is reviewed at each major project phase gate and updated as the project environment evolves.</w:t>
      </w:r>
    </w:p>
    <w:p>
      <w:pPr>
        <w:spacing w:after="120" w:before="80"/>
      </w:pPr>
      <w:r>
        <w:rPr>
          <w:rFonts w:ascii="Arial" w:cs="Arial" w:eastAsia="Arial" w:hAnsi="Arial"/>
          <w:color w:val="404040"/>
          <w:sz w:val="22"/>
          <w:szCs w:val="22"/>
        </w:rPr>
        <w:t xml:space="preserve">The SWOT analysis was conducted through a collaborative workshop involving all project team members, with input from academic supervisors and prospective end-user feedback gathered during requirements gathering sessions.</w:t>
      </w:r>
    </w:p>
    <w:p>
      <w:pPr>
        <w:pStyle w:val="Heading1"/>
        <w:pBdr>
          <w:bottom w:val="single" w:color="2E75B6" w:sz="6" w:space="1"/>
        </w:pBdr>
        <w:spacing w:after="180" w:before="360"/>
      </w:pPr>
      <w:r>
        <w:rPr>
          <w:rFonts w:ascii="Arial" w:cs="Arial" w:eastAsia="Arial" w:hAnsi="Arial"/>
          <w:b/>
          <w:bCs/>
          <w:color w:val="1F3864"/>
          <w:sz w:val="32"/>
          <w:szCs w:val="32"/>
        </w:rPr>
        <w:t xml:space="preserve">2. SWOT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IISS – SWOT Analysis Matrix</w:t>
            </w:r>
          </w:p>
        </w:tc>
      </w:tr>
      <w:tr>
        <w:tc>
          <w:tcPr>
            <w:tcW w:type="dxa" w:w="4680"/>
            <w:tcBorders>
              <w:top w:val="single" w:color="1F8A2E" w:sz="8"/>
              <w:left w:val="single" w:color="1F8A2E" w:sz="8"/>
              <w:bottom w:val="single" w:color="1F8A2E" w:sz="8"/>
              <w:right w:val="single" w:color="1F8A2E" w:sz="8"/>
            </w:tcBorders>
            <w:shd w:fill="E8F5E9" w:val="clear"/>
            <w:tcMar>
              <w:top w:type="dxa" w:w="120"/>
              <w:left w:type="dxa" w:w="180"/>
              <w:bottom w:type="dxa" w:w="120"/>
              <w:right w:type="dxa" w:w="180"/>
            </w:tcMar>
          </w:tcPr>
          <w:p>
            <w:pPr>
              <w:spacing w:after="120" w:before="0"/>
            </w:pPr>
            <w:r>
              <w:rPr>
                <w:rFonts w:ascii="Arial" w:cs="Arial" w:eastAsia="Arial" w:hAnsi="Arial"/>
                <w:b/>
                <w:bCs/>
                <w:color w:val="1F8A2E"/>
                <w:sz w:val="24"/>
                <w:szCs w:val="24"/>
              </w:rPr>
              <w:t xml:space="preserve">STRENGTHS (Internal – Positive)</w:t>
            </w:r>
          </w:p>
          <w:p>
            <w:pPr>
              <w:pStyle w:val="ListParagraph"/>
              <w:numPr>
                <w:ilvl w:val="0"/>
                <w:numId w:val="2"/>
              </w:numPr>
              <w:spacing w:after="40" w:before="40"/>
            </w:pPr>
            <w:r>
              <w:rPr>
                <w:rFonts w:ascii="Arial" w:cs="Arial" w:eastAsia="Arial" w:hAnsi="Arial"/>
                <w:sz w:val="20"/>
                <w:szCs w:val="20"/>
              </w:rPr>
              <w:t xml:space="preserve">Comprehensive dual-portal architecture serving both candidates and recruiters from a single platform, creating a network effect and competitive moat.</w:t>
            </w:r>
          </w:p>
          <w:p>
            <w:pPr>
              <w:pStyle w:val="ListParagraph"/>
              <w:numPr>
                <w:ilvl w:val="0"/>
                <w:numId w:val="2"/>
              </w:numPr>
              <w:spacing w:after="40" w:before="40"/>
            </w:pPr>
            <w:r>
              <w:rPr>
                <w:rFonts w:ascii="Arial" w:cs="Arial" w:eastAsia="Arial" w:hAnsi="Arial"/>
                <w:sz w:val="20"/>
                <w:szCs w:val="20"/>
              </w:rPr>
              <w:t xml:space="preserve">Multimodal AI analysis integrating facial expression, vocal tone, and NLP response evaluation simultaneously — significantly more analytically rich than single-modality competitors.</w:t>
            </w:r>
          </w:p>
          <w:p>
            <w:pPr>
              <w:pStyle w:val="ListParagraph"/>
              <w:numPr>
                <w:ilvl w:val="0"/>
                <w:numId w:val="2"/>
              </w:numPr>
              <w:spacing w:after="40" w:before="40"/>
            </w:pPr>
            <w:r>
              <w:rPr>
                <w:rFonts w:ascii="Arial" w:cs="Arial" w:eastAsia="Arial" w:hAnsi="Arial"/>
                <w:sz w:val="20"/>
                <w:szCs w:val="20"/>
              </w:rPr>
              <w:t xml:space="preserve">Flutter cross-platform mobile application maximizes market reach with a single codebase, reducing development cost compared to native iOS and Android development.</w:t>
            </w:r>
          </w:p>
          <w:p>
            <w:pPr>
              <w:pStyle w:val="ListParagraph"/>
              <w:numPr>
                <w:ilvl w:val="0"/>
                <w:numId w:val="2"/>
              </w:numPr>
              <w:spacing w:after="40" w:before="40"/>
            </w:pPr>
            <w:r>
              <w:rPr>
                <w:rFonts w:ascii="Arial" w:cs="Arial" w:eastAsia="Arial" w:hAnsi="Arial"/>
                <w:sz w:val="20"/>
                <w:szCs w:val="20"/>
              </w:rPr>
              <w:t xml:space="preserve">Modern, mature technology stack (Node.js, MongoDB, WebRTC, Flutter) with strong community support, extensive documentation, and available talent pool.</w:t>
            </w:r>
          </w:p>
          <w:p>
            <w:pPr>
              <w:pStyle w:val="ListParagraph"/>
              <w:numPr>
                <w:ilvl w:val="0"/>
                <w:numId w:val="2"/>
              </w:numPr>
              <w:spacing w:after="40" w:before="40"/>
            </w:pPr>
            <w:r>
              <w:rPr>
                <w:rFonts w:ascii="Arial" w:cs="Arial" w:eastAsia="Arial" w:hAnsi="Arial"/>
                <w:sz w:val="20"/>
                <w:szCs w:val="20"/>
              </w:rPr>
              <w:t xml:space="preserve">Real-time WebRTC-based interview sessions provide a high-fidelity simulation environment substantially more realistic than pre-recorded or text-based alternatives.</w:t>
            </w:r>
          </w:p>
          <w:p>
            <w:pPr>
              <w:pStyle w:val="ListParagraph"/>
              <w:numPr>
                <w:ilvl w:val="0"/>
                <w:numId w:val="2"/>
              </w:numPr>
              <w:spacing w:after="40" w:before="40"/>
            </w:pPr>
            <w:r>
              <w:rPr>
                <w:rFonts w:ascii="Arial" w:cs="Arial" w:eastAsia="Arial" w:hAnsi="Arial"/>
                <w:sz w:val="20"/>
                <w:szCs w:val="20"/>
              </w:rPr>
              <w:t xml:space="preserve">SaaS subscription model with tiered pricing enables revenue from both budget-conscious individual users and high-value organizational customers.</w:t>
            </w:r>
          </w:p>
          <w:p>
            <w:pPr>
              <w:pStyle w:val="ListParagraph"/>
              <w:numPr>
                <w:ilvl w:val="0"/>
                <w:numId w:val="2"/>
              </w:numPr>
              <w:spacing w:after="40" w:before="40"/>
            </w:pPr>
            <w:r>
              <w:rPr>
                <w:rFonts w:ascii="Arial" w:cs="Arial" w:eastAsia="Arial" w:hAnsi="Arial"/>
                <w:sz w:val="20"/>
                <w:szCs w:val="20"/>
              </w:rPr>
              <w:t xml:space="preserve">Strong academic foundation — developed under SPM course supervision ensures disciplined project management, documented processes, and comprehensive quality controls.</w:t>
            </w:r>
          </w:p>
          <w:p>
            <w:pPr>
              <w:pStyle w:val="ListParagraph"/>
              <w:numPr>
                <w:ilvl w:val="0"/>
                <w:numId w:val="2"/>
              </w:numPr>
              <w:spacing w:after="40" w:before="40"/>
            </w:pPr>
            <w:r>
              <w:rPr>
                <w:rFonts w:ascii="Arial" w:cs="Arial" w:eastAsia="Arial" w:hAnsi="Arial"/>
                <w:sz w:val="20"/>
                <w:szCs w:val="20"/>
              </w:rPr>
              <w:t xml:space="preserve">AI question generation adapts dynamically to candidate responses and role types, providing personalized practice experiences not possible with static question banks.</w:t>
            </w:r>
          </w:p>
          <w:p>
            <w:pPr>
              <w:pStyle w:val="ListParagraph"/>
              <w:numPr>
                <w:ilvl w:val="0"/>
                <w:numId w:val="2"/>
              </w:numPr>
              <w:spacing w:after="40" w:before="40"/>
            </w:pPr>
            <w:r>
              <w:rPr>
                <w:rFonts w:ascii="Arial" w:cs="Arial" w:eastAsia="Arial" w:hAnsi="Arial"/>
                <w:sz w:val="20"/>
                <w:szCs w:val="20"/>
              </w:rPr>
              <w:t xml:space="preserve">Team possesses diverse competencies across backend, frontend, mobile, AI/ML, and DevOps, enabling end-to-end platform delivery without external dependencies.</w:t>
            </w:r>
          </w:p>
          <w:p>
            <w:pPr>
              <w:pStyle w:val="ListParagraph"/>
              <w:numPr>
                <w:ilvl w:val="0"/>
                <w:numId w:val="2"/>
              </w:numPr>
              <w:spacing w:after="40" w:before="40"/>
            </w:pPr>
            <w:r>
              <w:rPr>
                <w:rFonts w:ascii="Arial" w:cs="Arial" w:eastAsia="Arial" w:hAnsi="Arial"/>
                <w:sz w:val="20"/>
                <w:szCs w:val="20"/>
              </w:rPr>
              <w:t xml:space="preserve">Comprehensive analytics and reporting provide actionable insights to both candidates (self-improvement) and recruiters (data-driven hiring), creating value at both ends of the market.</w:t>
            </w:r>
          </w:p>
        </w:tc>
        <w:tc>
          <w:tcPr>
            <w:tcW w:type="dxa" w:w="4680"/>
            <w:tcBorders>
              <w:top w:val="single" w:color="B71C1C" w:sz="8"/>
              <w:left w:val="single" w:color="B71C1C" w:sz="8"/>
              <w:bottom w:val="single" w:color="B71C1C" w:sz="8"/>
              <w:right w:val="single" w:color="B71C1C" w:sz="8"/>
            </w:tcBorders>
            <w:shd w:fill="FFEBEE" w:val="clear"/>
            <w:tcMar>
              <w:top w:type="dxa" w:w="120"/>
              <w:left w:type="dxa" w:w="180"/>
              <w:bottom w:type="dxa" w:w="120"/>
              <w:right w:type="dxa" w:w="180"/>
            </w:tcMar>
          </w:tcPr>
          <w:p>
            <w:pPr>
              <w:spacing w:after="120" w:before="0"/>
            </w:pPr>
            <w:r>
              <w:rPr>
                <w:rFonts w:ascii="Arial" w:cs="Arial" w:eastAsia="Arial" w:hAnsi="Arial"/>
                <w:b/>
                <w:bCs/>
                <w:color w:val="B71C1C"/>
                <w:sz w:val="24"/>
                <w:szCs w:val="24"/>
              </w:rPr>
              <w:t xml:space="preserve">WEAKNESSES (Internal – Negative)</w:t>
            </w:r>
          </w:p>
          <w:p>
            <w:pPr>
              <w:pStyle w:val="ListParagraph"/>
              <w:numPr>
                <w:ilvl w:val="0"/>
                <w:numId w:val="2"/>
              </w:numPr>
              <w:spacing w:after="40" w:before="40"/>
            </w:pPr>
            <w:r>
              <w:rPr>
                <w:rFonts w:ascii="Arial" w:cs="Arial" w:eastAsia="Arial" w:hAnsi="Arial"/>
                <w:sz w:val="20"/>
                <w:szCs w:val="20"/>
              </w:rPr>
              <w:t xml:space="preserve">AI API dependency on third-party providers (OpenAI, Google Cloud) introduces cost variability and service availability risk outside the team's direct control.</w:t>
            </w:r>
          </w:p>
          <w:p>
            <w:pPr>
              <w:pStyle w:val="ListParagraph"/>
              <w:numPr>
                <w:ilvl w:val="0"/>
                <w:numId w:val="2"/>
              </w:numPr>
              <w:spacing w:after="40" w:before="40"/>
            </w:pPr>
            <w:r>
              <w:rPr>
                <w:rFonts w:ascii="Arial" w:cs="Arial" w:eastAsia="Arial" w:hAnsi="Arial"/>
                <w:sz w:val="20"/>
                <w:szCs w:val="20"/>
              </w:rPr>
              <w:t xml:space="preserve">Real-time AI analysis of audio/video streams is computationally intensive, requiring careful performance optimization to maintain acceptable latency at scale.</w:t>
            </w:r>
          </w:p>
          <w:p>
            <w:pPr>
              <w:pStyle w:val="ListParagraph"/>
              <w:numPr>
                <w:ilvl w:val="0"/>
                <w:numId w:val="2"/>
              </w:numPr>
              <w:spacing w:after="40" w:before="40"/>
            </w:pPr>
            <w:r>
              <w:rPr>
                <w:rFonts w:ascii="Arial" w:cs="Arial" w:eastAsia="Arial" w:hAnsi="Arial"/>
                <w:sz w:val="20"/>
                <w:szCs w:val="20"/>
              </w:rPr>
              <w:t xml:space="preserve">Biometric data processing (facial expressions, voice recordings) creates significant legal and privacy compliance obligations that require ongoing legal expertise beyond the team's core competencies.</w:t>
            </w:r>
          </w:p>
          <w:p>
            <w:pPr>
              <w:pStyle w:val="ListParagraph"/>
              <w:numPr>
                <w:ilvl w:val="0"/>
                <w:numId w:val="2"/>
              </w:numPr>
              <w:spacing w:after="40" w:before="40"/>
            </w:pPr>
            <w:r>
              <w:rPr>
                <w:rFonts w:ascii="Arial" w:cs="Arial" w:eastAsia="Arial" w:hAnsi="Arial"/>
                <w:sz w:val="20"/>
                <w:szCs w:val="20"/>
              </w:rPr>
              <w:t xml:space="preserve">Limited marketing budget and distribution network at launch increases the challenge of achieving required user adoption velocity within the first six months post-launch.</w:t>
            </w:r>
          </w:p>
          <w:p>
            <w:pPr>
              <w:pStyle w:val="ListParagraph"/>
              <w:numPr>
                <w:ilvl w:val="0"/>
                <w:numId w:val="2"/>
              </w:numPr>
              <w:spacing w:after="40" w:before="40"/>
            </w:pPr>
            <w:r>
              <w:rPr>
                <w:rFonts w:ascii="Arial" w:cs="Arial" w:eastAsia="Arial" w:hAnsi="Arial"/>
                <w:sz w:val="20"/>
                <w:szCs w:val="20"/>
              </w:rPr>
              <w:t xml:space="preserve">Small team size relative to the platform's scope creates key-person dependency risks, particularly in the AI engineering and DevOps roles.</w:t>
            </w:r>
          </w:p>
          <w:p>
            <w:pPr>
              <w:pStyle w:val="ListParagraph"/>
              <w:numPr>
                <w:ilvl w:val="0"/>
                <w:numId w:val="2"/>
              </w:numPr>
              <w:spacing w:after="40" w:before="40"/>
            </w:pPr>
            <w:r>
              <w:rPr>
                <w:rFonts w:ascii="Arial" w:cs="Arial" w:eastAsia="Arial" w:hAnsi="Arial"/>
                <w:sz w:val="20"/>
                <w:szCs w:val="20"/>
              </w:rPr>
              <w:t xml:space="preserve">No existing brand recognition or market presence in the competitive HR technology sector, requiring significant trust-building investment in early marketing activities.</w:t>
            </w:r>
          </w:p>
          <w:p>
            <w:pPr>
              <w:pStyle w:val="ListParagraph"/>
              <w:numPr>
                <w:ilvl w:val="0"/>
                <w:numId w:val="2"/>
              </w:numPr>
              <w:spacing w:after="40" w:before="40"/>
            </w:pPr>
            <w:r>
              <w:rPr>
                <w:rFonts w:ascii="Arial" w:cs="Arial" w:eastAsia="Arial" w:hAnsi="Arial"/>
                <w:sz w:val="20"/>
                <w:szCs w:val="20"/>
              </w:rPr>
              <w:t xml:space="preserve">AI accuracy benchmarks (85% target) may be difficult to consistently achieve across the full diversity of interview types, roles, and candidate demographics without extensive training data.</w:t>
            </w:r>
          </w:p>
          <w:p>
            <w:pPr>
              <w:pStyle w:val="ListParagraph"/>
              <w:numPr>
                <w:ilvl w:val="0"/>
                <w:numId w:val="2"/>
              </w:numPr>
              <w:spacing w:after="40" w:before="40"/>
            </w:pPr>
            <w:r>
              <w:rPr>
                <w:rFonts w:ascii="Arial" w:cs="Arial" w:eastAsia="Arial" w:hAnsi="Arial"/>
                <w:sz w:val="20"/>
                <w:szCs w:val="20"/>
              </w:rPr>
              <w:t xml:space="preserve">Flutter WebRTC plugin immaturity for enterprise-grade video quality compared to native implementations may require workarounds or fallback mechanisms.</w:t>
            </w:r>
          </w:p>
          <w:p>
            <w:pPr>
              <w:pStyle w:val="ListParagraph"/>
              <w:numPr>
                <w:ilvl w:val="0"/>
                <w:numId w:val="2"/>
              </w:numPr>
              <w:spacing w:after="40" w:before="40"/>
            </w:pPr>
            <w:r>
              <w:rPr>
                <w:rFonts w:ascii="Arial" w:cs="Arial" w:eastAsia="Arial" w:hAnsi="Arial"/>
                <w:sz w:val="20"/>
                <w:szCs w:val="20"/>
              </w:rPr>
              <w:t xml:space="preserve">Stripe payment integration adds PCI-DSS compliance requirements that increase security audit scope and ongoing compliance maintenance overhead.</w:t>
            </w:r>
          </w:p>
        </w:tc>
      </w:tr>
      <w:tr>
        <w:tc>
          <w:tcPr>
            <w:tcW w:type="dxa" w:w="4680"/>
            <w:tcBorders>
              <w:top w:val="single" w:color="0D47A1" w:sz="8"/>
              <w:left w:val="single" w:color="0D47A1" w:sz="8"/>
              <w:bottom w:val="single" w:color="0D47A1" w:sz="8"/>
              <w:right w:val="single" w:color="0D47A1" w:sz="8"/>
            </w:tcBorders>
            <w:shd w:fill="E3F2FD" w:val="clear"/>
            <w:tcMar>
              <w:top w:type="dxa" w:w="120"/>
              <w:left w:type="dxa" w:w="180"/>
              <w:bottom w:type="dxa" w:w="120"/>
              <w:right w:type="dxa" w:w="180"/>
            </w:tcMar>
          </w:tcPr>
          <w:p>
            <w:pPr>
              <w:spacing w:after="120" w:before="0"/>
            </w:pPr>
            <w:r>
              <w:rPr>
                <w:rFonts w:ascii="Arial" w:cs="Arial" w:eastAsia="Arial" w:hAnsi="Arial"/>
                <w:b/>
                <w:bCs/>
                <w:color w:val="0D47A1"/>
                <w:sz w:val="24"/>
                <w:szCs w:val="24"/>
              </w:rPr>
              <w:t xml:space="preserve">OPPORTUNITIES (External – Positive)</w:t>
            </w:r>
          </w:p>
          <w:p>
            <w:pPr>
              <w:pStyle w:val="ListParagraph"/>
              <w:numPr>
                <w:ilvl w:val="0"/>
                <w:numId w:val="2"/>
              </w:numPr>
              <w:spacing w:after="40" w:before="40"/>
            </w:pPr>
            <w:r>
              <w:rPr>
                <w:rFonts w:ascii="Arial" w:cs="Arial" w:eastAsia="Arial" w:hAnsi="Arial"/>
                <w:sz w:val="20"/>
                <w:szCs w:val="20"/>
              </w:rPr>
              <w:t xml:space="preserve">Global AI in recruitment market projected to grow at 6.7% CAGR through 2030, driven by remote hiring normalization and increasing employer investment in automated screening tools.</w:t>
            </w:r>
          </w:p>
          <w:p>
            <w:pPr>
              <w:pStyle w:val="ListParagraph"/>
              <w:numPr>
                <w:ilvl w:val="0"/>
                <w:numId w:val="2"/>
              </w:numPr>
              <w:spacing w:after="40" w:before="40"/>
            </w:pPr>
            <w:r>
              <w:rPr>
                <w:rFonts w:ascii="Arial" w:cs="Arial" w:eastAsia="Arial" w:hAnsi="Arial"/>
                <w:sz w:val="20"/>
                <w:szCs w:val="20"/>
              </w:rPr>
              <w:t xml:space="preserve">Egyptian and MENA regional talent market underserved by sophisticated AI interview tools, providing early-mover advantage in a high-growth emerging market.</w:t>
            </w:r>
          </w:p>
          <w:p>
            <w:pPr>
              <w:pStyle w:val="ListParagraph"/>
              <w:numPr>
                <w:ilvl w:val="0"/>
                <w:numId w:val="2"/>
              </w:numPr>
              <w:spacing w:after="40" w:before="40"/>
            </w:pPr>
            <w:r>
              <w:rPr>
                <w:rFonts w:ascii="Arial" w:cs="Arial" w:eastAsia="Arial" w:hAnsi="Arial"/>
                <w:sz w:val="20"/>
                <w:szCs w:val="20"/>
              </w:rPr>
              <w:t xml:space="preserve">University and educational institution partnership opportunities for subsidized student access, providing organic user acquisition and brand building among the graduate talent pipeline.</w:t>
            </w:r>
          </w:p>
          <w:p>
            <w:pPr>
              <w:pStyle w:val="ListParagraph"/>
              <w:numPr>
                <w:ilvl w:val="0"/>
                <w:numId w:val="2"/>
              </w:numPr>
              <w:spacing w:after="40" w:before="40"/>
            </w:pPr>
            <w:r>
              <w:rPr>
                <w:rFonts w:ascii="Arial" w:cs="Arial" w:eastAsia="Arial" w:hAnsi="Arial"/>
                <w:sz w:val="20"/>
                <w:szCs w:val="20"/>
              </w:rPr>
              <w:t xml:space="preserve">Increasing HR technology budgets in organizations post-pandemic, with Gartner reporting 35% of HR leaders planning increased investment in AI-enabled recruiting tools.</w:t>
            </w:r>
          </w:p>
          <w:p>
            <w:pPr>
              <w:pStyle w:val="ListParagraph"/>
              <w:numPr>
                <w:ilvl w:val="0"/>
                <w:numId w:val="2"/>
              </w:numPr>
              <w:spacing w:after="40" w:before="40"/>
            </w:pPr>
            <w:r>
              <w:rPr>
                <w:rFonts w:ascii="Arial" w:cs="Arial" w:eastAsia="Arial" w:hAnsi="Arial"/>
                <w:sz w:val="20"/>
                <w:szCs w:val="20"/>
              </w:rPr>
              <w:t xml:space="preserve">Integration opportunities with popular Applicant Tracking Systems (Workday, Greenhouse, Lever) as a future feature could significantly accelerate enterprise sales cycles.</w:t>
            </w:r>
          </w:p>
          <w:p>
            <w:pPr>
              <w:pStyle w:val="ListParagraph"/>
              <w:numPr>
                <w:ilvl w:val="0"/>
                <w:numId w:val="2"/>
              </w:numPr>
              <w:spacing w:after="40" w:before="40"/>
            </w:pPr>
            <w:r>
              <w:rPr>
                <w:rFonts w:ascii="Arial" w:cs="Arial" w:eastAsia="Arial" w:hAnsi="Arial"/>
                <w:sz w:val="20"/>
                <w:szCs w:val="20"/>
              </w:rPr>
              <w:t xml:space="preserve">Arabic language AI model improvements from major providers (OpenAI, Google) open the Arabic-speaking market — a geographically proximate, large, and currently underserved segment.</w:t>
            </w:r>
          </w:p>
          <w:p>
            <w:pPr>
              <w:pStyle w:val="ListParagraph"/>
              <w:numPr>
                <w:ilvl w:val="0"/>
                <w:numId w:val="2"/>
              </w:numPr>
              <w:spacing w:after="40" w:before="40"/>
            </w:pPr>
            <w:r>
              <w:rPr>
                <w:rFonts w:ascii="Arial" w:cs="Arial" w:eastAsia="Arial" w:hAnsi="Arial"/>
                <w:sz w:val="20"/>
                <w:szCs w:val="20"/>
              </w:rPr>
              <w:t xml:space="preserve">Academic research publication opportunities from the platform's AI components (multimodal interview assessment, AI fairness in hiring) can drive credibility and institutional partnerships.</w:t>
            </w:r>
          </w:p>
          <w:p>
            <w:pPr>
              <w:pStyle w:val="ListParagraph"/>
              <w:numPr>
                <w:ilvl w:val="0"/>
                <w:numId w:val="2"/>
              </w:numPr>
              <w:spacing w:after="40" w:before="40"/>
            </w:pPr>
            <w:r>
              <w:rPr>
                <w:rFonts w:ascii="Arial" w:cs="Arial" w:eastAsia="Arial" w:hAnsi="Arial"/>
                <w:sz w:val="20"/>
                <w:szCs w:val="20"/>
              </w:rPr>
              <w:t xml:space="preserve">Potential for white-label licensing of the IISS platform to staffing agencies, HR consulting firms, or educational institutions seeking branded interview preparation tools.</w:t>
            </w:r>
          </w:p>
          <w:p>
            <w:pPr>
              <w:pStyle w:val="ListParagraph"/>
              <w:numPr>
                <w:ilvl w:val="0"/>
                <w:numId w:val="2"/>
              </w:numPr>
              <w:spacing w:after="40" w:before="40"/>
            </w:pPr>
            <w:r>
              <w:rPr>
                <w:rFonts w:ascii="Arial" w:cs="Arial" w:eastAsia="Arial" w:hAnsi="Arial"/>
                <w:sz w:val="20"/>
                <w:szCs w:val="20"/>
              </w:rPr>
              <w:t xml:space="preserve">Growing regulatory pressure on hiring bias in western markets may accelerate adoption of AI-assisted, objective candidate assessment tools with documented scoring methodologies.</w:t>
            </w:r>
          </w:p>
        </w:tc>
        <w:tc>
          <w:tcPr>
            <w:tcW w:type="dxa" w:w="4680"/>
            <w:tcBorders>
              <w:top w:val="single" w:color="E65100" w:sz="8"/>
              <w:left w:val="single" w:color="E65100" w:sz="8"/>
              <w:bottom w:val="single" w:color="E65100" w:sz="8"/>
              <w:right w:val="single" w:color="E65100" w:sz="8"/>
            </w:tcBorders>
            <w:shd w:fill="FFF8E1" w:val="clear"/>
            <w:tcMar>
              <w:top w:type="dxa" w:w="120"/>
              <w:left w:type="dxa" w:w="180"/>
              <w:bottom w:type="dxa" w:w="120"/>
              <w:right w:type="dxa" w:w="180"/>
            </w:tcMar>
          </w:tcPr>
          <w:p>
            <w:pPr>
              <w:spacing w:after="120" w:before="0"/>
            </w:pPr>
            <w:r>
              <w:rPr>
                <w:rFonts w:ascii="Arial" w:cs="Arial" w:eastAsia="Arial" w:hAnsi="Arial"/>
                <w:b/>
                <w:bCs/>
                <w:color w:val="E65100"/>
                <w:sz w:val="24"/>
                <w:szCs w:val="24"/>
              </w:rPr>
              <w:t xml:space="preserve">THREATS (External – Negative)</w:t>
            </w:r>
          </w:p>
          <w:p>
            <w:pPr>
              <w:pStyle w:val="ListParagraph"/>
              <w:numPr>
                <w:ilvl w:val="0"/>
                <w:numId w:val="2"/>
              </w:numPr>
              <w:spacing w:after="40" w:before="40"/>
            </w:pPr>
            <w:r>
              <w:rPr>
                <w:rFonts w:ascii="Arial" w:cs="Arial" w:eastAsia="Arial" w:hAnsi="Arial"/>
                <w:sz w:val="20"/>
                <w:szCs w:val="20"/>
              </w:rPr>
              <w:t xml:space="preserve">Well-funded enterprise competitors (HireVue, Pymetrics) with established market positions and large engineering teams could introduce overlapping features in response to IISS's market entry.</w:t>
            </w:r>
          </w:p>
          <w:p>
            <w:pPr>
              <w:pStyle w:val="ListParagraph"/>
              <w:numPr>
                <w:ilvl w:val="0"/>
                <w:numId w:val="2"/>
              </w:numPr>
              <w:spacing w:after="40" w:before="40"/>
            </w:pPr>
            <w:r>
              <w:rPr>
                <w:rFonts w:ascii="Arial" w:cs="Arial" w:eastAsia="Arial" w:hAnsi="Arial"/>
                <w:sz w:val="20"/>
                <w:szCs w:val="20"/>
              </w:rPr>
              <w:t xml:space="preserve">Rapid advancement in generative AI capabilities may render current AI scoring approaches obsolete within 12-24 months, requiring continuous research and development investment to remain competitive.</w:t>
            </w:r>
          </w:p>
          <w:p>
            <w:pPr>
              <w:pStyle w:val="ListParagraph"/>
              <w:numPr>
                <w:ilvl w:val="0"/>
                <w:numId w:val="2"/>
              </w:numPr>
              <w:spacing w:after="40" w:before="40"/>
            </w:pPr>
            <w:r>
              <w:rPr>
                <w:rFonts w:ascii="Arial" w:cs="Arial" w:eastAsia="Arial" w:hAnsi="Arial"/>
                <w:sz w:val="20"/>
                <w:szCs w:val="20"/>
              </w:rPr>
              <w:t xml:space="preserve">Increasing global regulatory scrutiny of AI-based hiring tools (EU AI Act, EEOC guidelines in the US) may impose compliance requirements that increase operational complexity and cost.</w:t>
            </w:r>
          </w:p>
          <w:p>
            <w:pPr>
              <w:pStyle w:val="ListParagraph"/>
              <w:numPr>
                <w:ilvl w:val="0"/>
                <w:numId w:val="2"/>
              </w:numPr>
              <w:spacing w:after="40" w:before="40"/>
            </w:pPr>
            <w:r>
              <w:rPr>
                <w:rFonts w:ascii="Arial" w:cs="Arial" w:eastAsia="Arial" w:hAnsi="Arial"/>
                <w:sz w:val="20"/>
                <w:szCs w:val="20"/>
              </w:rPr>
              <w:t xml:space="preserve">OpenAI or Google could change API pricing models or introduce usage restrictions that materially increase the platform's operating cost structure.</w:t>
            </w:r>
          </w:p>
          <w:p>
            <w:pPr>
              <w:pStyle w:val="ListParagraph"/>
              <w:numPr>
                <w:ilvl w:val="0"/>
                <w:numId w:val="2"/>
              </w:numPr>
              <w:spacing w:after="40" w:before="40"/>
            </w:pPr>
            <w:r>
              <w:rPr>
                <w:rFonts w:ascii="Arial" w:cs="Arial" w:eastAsia="Arial" w:hAnsi="Arial"/>
                <w:sz w:val="20"/>
                <w:szCs w:val="20"/>
              </w:rPr>
              <w:t xml:space="preserve">Economic downturns or reduced hiring activity would reduce demand for both recruiter screening tools and candidate preparation subscriptions simultaneously, concentrating revenue risk.</w:t>
            </w:r>
          </w:p>
          <w:p>
            <w:pPr>
              <w:pStyle w:val="ListParagraph"/>
              <w:numPr>
                <w:ilvl w:val="0"/>
                <w:numId w:val="2"/>
              </w:numPr>
              <w:spacing w:after="40" w:before="40"/>
            </w:pPr>
            <w:r>
              <w:rPr>
                <w:rFonts w:ascii="Arial" w:cs="Arial" w:eastAsia="Arial" w:hAnsi="Arial"/>
                <w:sz w:val="20"/>
                <w:szCs w:val="20"/>
              </w:rPr>
              <w:t xml:space="preserve">Data breaches or AI scoring controversies (bias allegations, accuracy disputes) in the broader HR technology sector could reduce market trust in AI assessment tools generally.</w:t>
            </w:r>
          </w:p>
          <w:p>
            <w:pPr>
              <w:pStyle w:val="ListParagraph"/>
              <w:numPr>
                <w:ilvl w:val="0"/>
                <w:numId w:val="2"/>
              </w:numPr>
              <w:spacing w:after="40" w:before="40"/>
            </w:pPr>
            <w:r>
              <w:rPr>
                <w:rFonts w:ascii="Arial" w:cs="Arial" w:eastAsia="Arial" w:hAnsi="Arial"/>
                <w:sz w:val="20"/>
                <w:szCs w:val="20"/>
              </w:rPr>
              <w:t xml:space="preserve">Free-tier competition from general-purpose AI tools (ChatGPT, Gemini) that candidates may use for informal interview preparation, reducing willingness-to-pay for specialized solutions.</w:t>
            </w:r>
          </w:p>
          <w:p>
            <w:pPr>
              <w:pStyle w:val="ListParagraph"/>
              <w:numPr>
                <w:ilvl w:val="0"/>
                <w:numId w:val="2"/>
              </w:numPr>
              <w:spacing w:after="40" w:before="40"/>
            </w:pPr>
            <w:r>
              <w:rPr>
                <w:rFonts w:ascii="Arial" w:cs="Arial" w:eastAsia="Arial" w:hAnsi="Arial"/>
                <w:sz w:val="20"/>
                <w:szCs w:val="20"/>
              </w:rPr>
              <w:t xml:space="preserve">App store policy changes (Apple App Store, Google Play) could affect the Flutter mobile application's distribution or in-app purchase compliance requirements.</w:t>
            </w:r>
          </w:p>
          <w:p>
            <w:pPr>
              <w:pStyle w:val="ListParagraph"/>
              <w:numPr>
                <w:ilvl w:val="0"/>
                <w:numId w:val="2"/>
              </w:numPr>
              <w:spacing w:after="40" w:before="40"/>
            </w:pPr>
            <w:r>
              <w:rPr>
                <w:rFonts w:ascii="Arial" w:cs="Arial" w:eastAsia="Arial" w:hAnsi="Arial"/>
                <w:sz w:val="20"/>
                <w:szCs w:val="20"/>
              </w:rPr>
              <w:t xml:space="preserve">Difficulty attracting and retaining specialized AI/ML talent post-project if commercial scale-up is pursued, given competitive compensation demands in the AI engineering market.</w:t>
            </w:r>
          </w:p>
        </w:tc>
      </w:tr>
    </w:tbl>
    <w:p>
      <w:pPr>
        <w:spacing w:after="120" w:before="80"/>
      </w:pPr>
      <w:r>
        <w:rPr>
          <w:rFonts w:ascii="Arial" w:cs="Arial" w:eastAsia="Arial" w:hAnsi="Arial"/>
          <w:color w:val="404040"/>
          <w:sz w:val="22"/>
          <w:szCs w:val="22"/>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3. Strategic Implications and Recommendations</w:t>
      </w:r>
    </w:p>
    <w:p>
      <w:pPr>
        <w:pStyle w:val="Heading2"/>
        <w:spacing w:after="120" w:before="240"/>
      </w:pPr>
      <w:r>
        <w:rPr>
          <w:rFonts w:ascii="Arial" w:cs="Arial" w:eastAsia="Arial" w:hAnsi="Arial"/>
          <w:b/>
          <w:bCs/>
          <w:color w:val="2E75B6"/>
          <w:sz w:val="26"/>
          <w:szCs w:val="26"/>
        </w:rPr>
        <w:t xml:space="preserve">3.1 Leverage Strengths to Exploit Opportunities (SO Strategies)</w:t>
      </w:r>
    </w:p>
    <w:p>
      <w:pPr>
        <w:pStyle w:val="ListParagraph"/>
        <w:numPr>
          <w:ilvl w:val="0"/>
          <w:numId w:val="2"/>
        </w:numPr>
        <w:spacing w:after="60" w:before="60"/>
      </w:pPr>
      <w:r>
        <w:rPr>
          <w:rFonts w:ascii="Arial" w:cs="Arial" w:eastAsia="Arial" w:hAnsi="Arial"/>
          <w:color w:val="404040"/>
          <w:sz w:val="22"/>
          <w:szCs w:val="22"/>
        </w:rPr>
        <w:t xml:space="preserve">Leverage the platform's unique multimodal analysis capability as the primary differentiator in marketing to educational institutions and HR consultancies in the MENA region, where AI interview tools are nascent and the technology advantage is most pronounced.</w:t>
      </w:r>
    </w:p>
    <w:p>
      <w:pPr>
        <w:pStyle w:val="ListParagraph"/>
        <w:numPr>
          <w:ilvl w:val="0"/>
          <w:numId w:val="2"/>
        </w:numPr>
        <w:spacing w:after="60" w:before="60"/>
      </w:pPr>
      <w:r>
        <w:rPr>
          <w:rFonts w:ascii="Arial" w:cs="Arial" w:eastAsia="Arial" w:hAnsi="Arial"/>
          <w:color w:val="404040"/>
          <w:sz w:val="22"/>
          <w:szCs w:val="22"/>
        </w:rPr>
        <w:t xml:space="preserve">Use the SaaS subscription model flexibility to offer an academic partnership tier specifically designed for universities, converting academic users into professional platform advocates upon graduation.</w:t>
      </w:r>
    </w:p>
    <w:p>
      <w:pPr>
        <w:pStyle w:val="ListParagraph"/>
        <w:numPr>
          <w:ilvl w:val="0"/>
          <w:numId w:val="2"/>
        </w:numPr>
        <w:spacing w:after="60" w:before="60"/>
      </w:pPr>
      <w:r>
        <w:rPr>
          <w:rFonts w:ascii="Arial" w:cs="Arial" w:eastAsia="Arial" w:hAnsi="Arial"/>
          <w:color w:val="404040"/>
          <w:sz w:val="22"/>
          <w:szCs w:val="22"/>
        </w:rPr>
        <w:t xml:space="preserve">Develop and publish anonymized research findings from the platform's AI scoring system to establish academic credibility and attract enterprise clients who require validated, bias-audited assessment methodologies.</w:t>
      </w:r>
    </w:p>
    <w:p>
      <w:pPr>
        <w:pStyle w:val="Heading2"/>
        <w:spacing w:after="120" w:before="240"/>
      </w:pPr>
      <w:r>
        <w:rPr>
          <w:rFonts w:ascii="Arial" w:cs="Arial" w:eastAsia="Arial" w:hAnsi="Arial"/>
          <w:b/>
          <w:bCs/>
          <w:color w:val="2E75B6"/>
          <w:sz w:val="26"/>
          <w:szCs w:val="26"/>
        </w:rPr>
        <w:t xml:space="preserve">3.2 Address Weaknesses to Exploit Opportunities (WO Strategies)</w:t>
      </w:r>
    </w:p>
    <w:p>
      <w:pPr>
        <w:pStyle w:val="ListParagraph"/>
        <w:numPr>
          <w:ilvl w:val="0"/>
          <w:numId w:val="2"/>
        </w:numPr>
        <w:spacing w:after="60" w:before="60"/>
      </w:pPr>
      <w:r>
        <w:rPr>
          <w:rFonts w:ascii="Arial" w:cs="Arial" w:eastAsia="Arial" w:hAnsi="Arial"/>
          <w:color w:val="404040"/>
          <w:sz w:val="22"/>
          <w:szCs w:val="22"/>
        </w:rPr>
        <w:t xml:space="preserve">Establish a multi-provider AI adapter architecture from the start of development, enabling rapid switching between OpenAI, Anthropic, Google, and open-source models as pricing and capability landscapes evolve.</w:t>
      </w:r>
    </w:p>
    <w:p>
      <w:pPr>
        <w:pStyle w:val="ListParagraph"/>
        <w:numPr>
          <w:ilvl w:val="0"/>
          <w:numId w:val="2"/>
        </w:numPr>
        <w:spacing w:after="60" w:before="60"/>
      </w:pPr>
      <w:r>
        <w:rPr>
          <w:rFonts w:ascii="Arial" w:cs="Arial" w:eastAsia="Arial" w:hAnsi="Arial"/>
          <w:color w:val="404040"/>
          <w:sz w:val="22"/>
          <w:szCs w:val="22"/>
        </w:rPr>
        <w:t xml:space="preserve">Initiate legal compliance review of biometric data handling in Phase 1, prior to any AI development, to ensure the privacy architecture is embedded in the system design rather than retrofitted.</w:t>
      </w:r>
    </w:p>
    <w:p>
      <w:pPr>
        <w:pStyle w:val="ListParagraph"/>
        <w:numPr>
          <w:ilvl w:val="0"/>
          <w:numId w:val="2"/>
        </w:numPr>
        <w:spacing w:after="60" w:before="60"/>
      </w:pPr>
      <w:r>
        <w:rPr>
          <w:rFonts w:ascii="Arial" w:cs="Arial" w:eastAsia="Arial" w:hAnsi="Arial"/>
          <w:color w:val="404040"/>
          <w:sz w:val="22"/>
          <w:szCs w:val="22"/>
        </w:rPr>
        <w:t xml:space="preserve">Partner with Future University in Egypt as the first institutional user to generate initial user adoption data and testimonials that mitigate brand recognition weakness in early commercial marketing.</w:t>
      </w:r>
    </w:p>
    <w:p>
      <w:pPr>
        <w:pStyle w:val="Heading2"/>
        <w:spacing w:after="120" w:before="240"/>
      </w:pPr>
      <w:r>
        <w:rPr>
          <w:rFonts w:ascii="Arial" w:cs="Arial" w:eastAsia="Arial" w:hAnsi="Arial"/>
          <w:b/>
          <w:bCs/>
          <w:color w:val="2E75B6"/>
          <w:sz w:val="26"/>
          <w:szCs w:val="26"/>
        </w:rPr>
        <w:t xml:space="preserve">3.3 Use Strengths to Mitigate Threats (ST Strategies)</w:t>
      </w:r>
    </w:p>
    <w:p>
      <w:pPr>
        <w:pStyle w:val="ListParagraph"/>
        <w:numPr>
          <w:ilvl w:val="0"/>
          <w:numId w:val="2"/>
        </w:numPr>
        <w:spacing w:after="60" w:before="60"/>
      </w:pPr>
      <w:r>
        <w:rPr>
          <w:rFonts w:ascii="Arial" w:cs="Arial" w:eastAsia="Arial" w:hAnsi="Arial"/>
          <w:color w:val="404040"/>
          <w:sz w:val="22"/>
          <w:szCs w:val="22"/>
        </w:rPr>
        <w:t xml:space="preserve">Implement comprehensive AI fairness auditing, including demographic bias testing across gender, age, and background variables, to proactively address regulatory and reputational risks before they materialize.</w:t>
      </w:r>
    </w:p>
    <w:p>
      <w:pPr>
        <w:pStyle w:val="ListParagraph"/>
        <w:numPr>
          <w:ilvl w:val="0"/>
          <w:numId w:val="2"/>
        </w:numPr>
        <w:spacing w:after="60" w:before="60"/>
      </w:pPr>
      <w:r>
        <w:rPr>
          <w:rFonts w:ascii="Arial" w:cs="Arial" w:eastAsia="Arial" w:hAnsi="Arial"/>
          <w:color w:val="404040"/>
          <w:sz w:val="22"/>
          <w:szCs w:val="22"/>
        </w:rPr>
        <w:t xml:space="preserve">Develop detailed API integration documentation and an open plugin architecture to make the IISS platform an attractive integration target for ATS providers, creating switching costs and competitive defensibility.</w:t>
      </w:r>
    </w:p>
    <w:p>
      <w:pPr>
        <w:pStyle w:val="Heading2"/>
        <w:spacing w:after="120" w:before="240"/>
      </w:pPr>
      <w:r>
        <w:rPr>
          <w:rFonts w:ascii="Arial" w:cs="Arial" w:eastAsia="Arial" w:hAnsi="Arial"/>
          <w:b/>
          <w:bCs/>
          <w:color w:val="2E75B6"/>
          <w:sz w:val="26"/>
          <w:szCs w:val="26"/>
        </w:rPr>
        <w:t xml:space="preserve">3.4 Address Weaknesses and Threats (WT Strategies – Risk Mitigation)</w:t>
      </w:r>
    </w:p>
    <w:p>
      <w:pPr>
        <w:pStyle w:val="ListParagraph"/>
        <w:numPr>
          <w:ilvl w:val="0"/>
          <w:numId w:val="2"/>
        </w:numPr>
        <w:spacing w:after="60" w:before="60"/>
      </w:pPr>
      <w:r>
        <w:rPr>
          <w:rFonts w:ascii="Arial" w:cs="Arial" w:eastAsia="Arial" w:hAnsi="Arial"/>
          <w:color w:val="404040"/>
          <w:sz w:val="22"/>
          <w:szCs w:val="22"/>
        </w:rPr>
        <w:t xml:space="preserve">Implement strict API budget controls and usage monitoring from the first sprint to prevent cost overruns from AI API usage, with automatic circuit breakers reducing model call frequency during high-load periods.</w:t>
      </w:r>
    </w:p>
    <w:p>
      <w:pPr>
        <w:pStyle w:val="ListParagraph"/>
        <w:numPr>
          <w:ilvl w:val="0"/>
          <w:numId w:val="2"/>
        </w:numPr>
        <w:spacing w:after="60" w:before="60"/>
      </w:pPr>
      <w:r>
        <w:rPr>
          <w:rFonts w:ascii="Arial" w:cs="Arial" w:eastAsia="Arial" w:hAnsi="Arial"/>
          <w:color w:val="404040"/>
          <w:sz w:val="22"/>
          <w:szCs w:val="22"/>
        </w:rPr>
        <w:t xml:space="preserve">Maintain a minimum viable feature set offline mode for candidates (cached question banks, local recording) to ensure platform usefulness even during third-party API outages.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Future University in Egypt  |  Spring 2026</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SWOT Analysis – Interactive AI Interview Simulation System (IISS)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2026-05-09T15:38:02.585Z</dcterms:created>
  <dcterms:modified xsi:type="dcterms:W3CDTF">2026-05-09T15:38:02.585Z</dcterms:modified>
</cp:coreProperties>
</file>

<file path=docProps/custom.xml><?xml version="1.0" encoding="utf-8"?>
<Properties xmlns="http://schemas.openxmlformats.org/officeDocument/2006/custom-properties" xmlns:vt="http://schemas.openxmlformats.org/officeDocument/2006/docPropsVTypes"/>
</file>