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F2430"/>
          <w:sz w:val="40"/>
          <w:szCs w:val="40"/>
        </w:rPr>
        <w:t xml:space="preserve">Audit Trail — Progress Tracker</w:t>
      </w:r>
    </w:p>
    <w:p>
      <w:pPr>
        <w:spacing w:after="60" w:before="0" w:line="250"/>
      </w:pPr>
      <w:r>
        <w:rPr>
          <w:rFonts w:ascii="Calibri" w:cs="Calibri" w:eastAsia="Calibri" w:hAnsi="Calibri"/>
          <w:b w:val="false"/>
          <w:bCs w:val="false"/>
          <w:i w:val="false"/>
          <w:iCs w:val="false"/>
          <w:color w:val="3B4252"/>
          <w:sz w:val="17"/>
          <w:szCs w:val="17"/>
        </w:rPr>
        <w:t xml:space="preserve">Axlero Solutions · Project 2 · Event-Sourced Inventory &amp; Logistics Ledger</w:t>
      </w:r>
    </w:p>
    <w:p>
      <w:pPr>
        <w:spacing w:after="160" w:before="0" w:line="250"/>
      </w:pPr>
      <w:r>
        <w:rPr>
          <w:rFonts w:ascii="Calibri" w:cs="Calibri" w:eastAsia="Calibri" w:hAnsi="Calibri"/>
          <w:b w:val="false"/>
          <w:bCs w:val="false"/>
          <w:i w:val="false"/>
          <w:iCs w:val="false"/>
          <w:color w:val="6B7280"/>
          <w:sz w:val="16"/>
          <w:szCs w:val="16"/>
        </w:rPr>
        <w:t xml:space="preserve">Audited against the delivered audit-trail-updated build (backend, frontend, docs, tests) · updated 29 August · test counts re-run and verified on this build, not copied from the docs</w:t>
      </w:r>
    </w:p>
    <w:p>
      <w:pPr>
        <w:pStyle w:val="Heading2"/>
        <w:spacing w:after="80" w:before="260"/>
      </w:pPr>
      <w:r>
        <w:rPr>
          <w:rFonts w:ascii="Calibri" w:cs="Calibri" w:eastAsia="Calibri" w:hAnsi="Calibri"/>
          <w:b/>
          <w:bCs/>
          <w:color w:val="1F2430"/>
          <w:sz w:val="22"/>
          <w:szCs w:val="22"/>
        </w:rPr>
        <w:t xml:space="preserve">How to read this</w:t>
      </w:r>
    </w:p>
    <w:p>
      <w:pPr>
        <w:spacing w:after="60" w:before="0" w:line="250"/>
      </w:pPr>
      <w:r>
        <w:rPr>
          <w:rFonts w:ascii="Calibri" w:cs="Calibri" w:eastAsia="Calibri" w:hAnsi="Calibri"/>
          <w:b w:val="false"/>
          <w:bCs w:val="false"/>
          <w:i w:val="false"/>
          <w:iCs w:val="false"/>
          <w:color w:val="1F2430"/>
          <w:sz w:val="18"/>
          <w:szCs w:val="18"/>
        </w:rPr>
        <w:t xml:space="preserve">Every task below is taken from the Axlero Project 2 week-wise plan ("Audit Trail" — Supply Chain &amp; FinTech). The status colour tells you where you stand; the file column tells you exactly where to look in the codebase. Anything the plan didn't ask for but the build includes anyway is flagged BONUS, not DONE, so the real brief is never obscured by extra work. Rows added since the previous revision of this tracker are the ones covering the enhancement round — server-assigned IDs, location catalogues, lifecycle scheduling, automatic temperature monitoring, real-time updates and the rewritten PDF audit report.</w:t>
      </w:r>
    </w:p>
    <w:p>
      <w:pPr>
        <w:pStyle w:val="Heading2"/>
        <w:spacing w:after="80" w:before="260"/>
      </w:pPr>
      <w:r>
        <w:rPr>
          <w:rFonts w:ascii="Calibri" w:cs="Calibri" w:eastAsia="Calibri" w:hAnsi="Calibri"/>
          <w:b/>
          <w:bCs/>
          <w:color w:val="1F2430"/>
          <w:sz w:val="22"/>
          <w:szCs w:val="22"/>
        </w:rPr>
        <w:t xml:space="preserve">Where you actually stand</w:t>
      </w:r>
    </w:p>
    <w:p>
      <w:pPr>
        <w:spacing w:after="60" w:before="0" w:line="250"/>
      </w:pPr>
      <w:r>
        <w:rPr>
          <w:rFonts w:ascii="Calibri" w:cs="Calibri" w:eastAsia="Calibri" w:hAnsi="Calibri"/>
          <w:b w:val="false"/>
          <w:bCs w:val="false"/>
          <w:i w:val="false"/>
          <w:iCs w:val="false"/>
          <w:color w:val="1F2430"/>
          <w:sz w:val="18"/>
          <w:szCs w:val="18"/>
        </w:rPr>
        <w:t xml:space="preserve">Weeks 1 through 4, the Mid-Project Review, and the Final Review are all COMPLETE, and the build now goes considerably past the brief. The codebase implements the full roadmap end to end — CQRS routers, an append-only Event Store with a SHA-256 hash chain, a shared reducer used identically for live replay and for the read-model projection, Optimistic Concurrency Control proven under real 10-way concurrent races, and a React + Recharts forensic dashboard with a working time-scrubber.</w:t>
      </w:r>
    </w:p>
    <w:p>
      <w:pPr>
        <w:spacing w:after="60" w:before="0" w:line="250"/>
      </w:pPr>
      <w:r>
        <w:rPr>
          <w:rFonts w:ascii="Calibri" w:cs="Calibri" w:eastAsia="Calibri" w:hAnsi="Calibri"/>
          <w:b w:val="false"/>
          <w:bCs w:val="false"/>
          <w:i w:val="false"/>
          <w:iCs w:val="false"/>
          <w:color w:val="1F2430"/>
          <w:sz w:val="18"/>
          <w:szCs w:val="18"/>
        </w:rPr>
        <w:t xml:space="preserve">Test coverage was re-run against this build rather than taken from the documentation: 229 backend checks (83 unit, 93 integration, 23 API, 22 database, 8 concurrency) and 79 frontend component checks, all green. Nine things now exceed the brief: hash-chain tamper-evidence with a verification endpoint, projection-vs-replay reconciliation, server-allocated SHP-N identifiers, an ISO-3166 location catalogue driving cascading dropdowns, a full event-sourced lifecycle planner with derived overdue status and schedule extensions, automatic temperature monitoring that issues commands rather than writing events, server-sent-event real-time refresh, a ten-section PDF audit report, and the marketing landing page in front of the dashboard.</w:t>
      </w:r>
    </w:p>
    <w:p>
      <w:pPr>
        <w:spacing w:after="60" w:before="0" w:line="250"/>
      </w:pPr>
      <w:r>
        <w:rPr>
          <w:rFonts w:ascii="Calibri" w:cs="Calibri" w:eastAsia="Calibri" w:hAnsi="Calibri"/>
          <w:b w:val="false"/>
          <w:bCs w:val="false"/>
          <w:i w:val="false"/>
          <w:iCs w:val="false"/>
          <w:color w:val="1F2430"/>
          <w:sz w:val="18"/>
          <w:szCs w:val="18"/>
        </w:rPr>
        <w:t xml:space="preserve">Nothing required by the Week 1–4 roadmap is outstanding. The one genuine piece of housekeeping left is documentation drift: three docs still quote older test counts. Everything else open is explicitly optional — Playwright end-to-end tests, a deployment target, and authentication.</w:t>
      </w:r>
    </w:p>
    <w:p>
      <w:pPr>
        <w:pStyle w:val="Heading2"/>
        <w:spacing w:after="80" w:before="260"/>
      </w:pPr>
      <w:r>
        <w:rPr>
          <w:rFonts w:ascii="Calibri" w:cs="Calibri" w:eastAsia="Calibri" w:hAnsi="Calibri"/>
          <w:b/>
          <w:bCs/>
          <w:color w:val="1F2430"/>
          <w:sz w:val="22"/>
          <w:szCs w:val="22"/>
        </w:rPr>
        <w:t xml:space="preserve">Status legend</w:t>
      </w:r>
    </w:p>
    <w:tbl>
      <w:tblPr>
        <w:tblW w:type="dxa" w:w="9360"/>
        <w:tblBorders>
          <w:top w:val="single" w:color="D8DCE4" w:sz="2"/>
          <w:left w:val="single" w:color="D8DCE4" w:sz="2"/>
          <w:bottom w:val="single" w:color="D8DCE4" w:sz="2"/>
          <w:right w:val="single" w:color="D8DCE4" w:sz="2"/>
          <w:insideH w:val="single" w:color="D8DCE4" w:sz="2"/>
          <w:insideV w:val="single" w:color="D8DCE4" w:sz="2"/>
        </w:tblBorders>
      </w:tblPr>
      <w:tblGrid>
        <w:gridCol w:w="1600"/>
        <w:gridCol w:w="7760"/>
      </w:tblGrid>
      <w:tr>
        <w:tc>
          <w:tcPr>
            <w:tcW w:type="dxa" w:w="160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pPr>
            <w:r>
              <w:rPr>
                <w:rFonts w:ascii="Calibri" w:cs="Calibri" w:eastAsia="Calibri" w:hAnsi="Calibri"/>
                <w:b/>
                <w:bCs/>
                <w:color w:val="1B6B3A"/>
                <w:sz w:val="16"/>
                <w:szCs w:val="16"/>
              </w:rPr>
              <w:t xml:space="preserve">DONE</w:t>
            </w:r>
          </w:p>
        </w:tc>
        <w:tc>
          <w:tcPr>
            <w:tcW w:type="dxa" w:w="77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Built and working. Evidence exists in the codebase.</w:t>
            </w:r>
          </w:p>
        </w:tc>
      </w:tr>
      <w:tr>
        <w:tc>
          <w:tcPr>
            <w:tcW w:type="dxa" w:w="160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pPr>
            <w:r>
              <w:rPr>
                <w:rFonts w:ascii="Calibri" w:cs="Calibri" w:eastAsia="Calibri" w:hAnsi="Calibri"/>
                <w:b/>
                <w:bCs/>
                <w:color w:val="1D4ED8"/>
                <w:sz w:val="16"/>
                <w:szCs w:val="16"/>
              </w:rPr>
              <w:t xml:space="preserve">BONUS</w:t>
            </w:r>
          </w:p>
        </w:tc>
        <w:tc>
          <w:tcPr>
            <w:tcW w:type="dxa" w:w="77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Built, and it goes BEYOND what the Project 2 brief asked for at this stage.</w:t>
            </w:r>
          </w:p>
        </w:tc>
      </w:tr>
      <w:tr>
        <w:tc>
          <w:tcPr>
            <w:tcW w:type="dxa" w:w="1600"/>
            <w:tcBorders>
              <w:top w:val="single" w:color="D8DCE4" w:sz="2"/>
              <w:left w:val="single" w:color="D8DCE4" w:sz="2"/>
              <w:bottom w:val="single" w:color="D8DCE4" w:sz="2"/>
              <w:right w:val="single" w:color="D8DCE4" w:sz="2"/>
            </w:tcBorders>
            <w:shd w:fill="FDF3CF" w:color="auto" w:val="clear"/>
            <w:tcMar>
              <w:top w:type="dxa" w:w="90"/>
              <w:left w:type="dxa" w:w="110"/>
              <w:bottom w:type="dxa" w:w="90"/>
              <w:right w:type="dxa" w:w="110"/>
            </w:tcMar>
            <w:vAlign w:val="center"/>
          </w:tcPr>
          <w:p>
            <w:pPr>
              <w:spacing w:after="0" w:line="240"/>
            </w:pPr>
            <w:r>
              <w:rPr>
                <w:rFonts w:ascii="Calibri" w:cs="Calibri" w:eastAsia="Calibri" w:hAnsi="Calibri"/>
                <w:b/>
                <w:bCs/>
                <w:color w:val="8A6D00"/>
                <w:sz w:val="16"/>
                <w:szCs w:val="16"/>
              </w:rPr>
              <w:t xml:space="preserve">VERIFY</w:t>
            </w:r>
          </w:p>
        </w:tc>
        <w:tc>
          <w:tcPr>
            <w:tcW w:type="dxa" w:w="77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Built, but proven only by automated tests — you should still demo it live before a review.</w:t>
            </w:r>
          </w:p>
        </w:tc>
      </w:tr>
      <w:tr>
        <w:tc>
          <w:tcPr>
            <w:tcW w:type="dxa" w:w="1600"/>
            <w:tcBorders>
              <w:top w:val="single" w:color="D8DCE4" w:sz="2"/>
              <w:left w:val="single" w:color="D8DCE4" w:sz="2"/>
              <w:bottom w:val="single" w:color="D8DCE4" w:sz="2"/>
              <w:right w:val="single" w:color="D8DCE4" w:sz="2"/>
            </w:tcBorders>
            <w:shd w:fill="FBE0CC" w:color="auto" w:val="clear"/>
            <w:tcMar>
              <w:top w:type="dxa" w:w="90"/>
              <w:left w:type="dxa" w:w="110"/>
              <w:bottom w:type="dxa" w:w="90"/>
              <w:right w:type="dxa" w:w="110"/>
            </w:tcMar>
            <w:vAlign w:val="center"/>
          </w:tcPr>
          <w:p>
            <w:pPr>
              <w:spacing w:after="0" w:line="240"/>
            </w:pPr>
            <w:r>
              <w:rPr>
                <w:rFonts w:ascii="Calibri" w:cs="Calibri" w:eastAsia="Calibri" w:hAnsi="Calibri"/>
                <w:b/>
                <w:bCs/>
                <w:color w:val="9A5A16"/>
                <w:sz w:val="16"/>
                <w:szCs w:val="16"/>
              </w:rPr>
              <w:t xml:space="preserve">OPTIONAL</w:t>
            </w:r>
          </w:p>
        </w:tc>
        <w:tc>
          <w:tcPr>
            <w:tcW w:type="dxa" w:w="77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Not built. Explicitly optional / out-of-scope / a documented future-work item. Will not fail a review.</w:t>
            </w:r>
          </w:p>
        </w:tc>
      </w:tr>
      <w:tr>
        <w:tc>
          <w:tcPr>
            <w:tcW w:type="dxa" w:w="1600"/>
            <w:tcBorders>
              <w:top w:val="single" w:color="D8DCE4" w:sz="2"/>
              <w:left w:val="single" w:color="D8DCE4" w:sz="2"/>
              <w:bottom w:val="single" w:color="D8DCE4" w:sz="2"/>
              <w:right w:val="single" w:color="D8DCE4" w:sz="2"/>
            </w:tcBorders>
            <w:shd w:fill="FADBD8" w:color="auto" w:val="clear"/>
            <w:tcMar>
              <w:top w:type="dxa" w:w="90"/>
              <w:left w:type="dxa" w:w="110"/>
              <w:bottom w:type="dxa" w:w="90"/>
              <w:right w:type="dxa" w:w="110"/>
            </w:tcMar>
            <w:vAlign w:val="center"/>
          </w:tcPr>
          <w:p>
            <w:pPr>
              <w:spacing w:after="0" w:line="240"/>
            </w:pPr>
            <w:r>
              <w:rPr>
                <w:rFonts w:ascii="Calibri" w:cs="Calibri" w:eastAsia="Calibri" w:hAnsi="Calibri"/>
                <w:b/>
                <w:bCs/>
                <w:color w:val="A32E2E"/>
                <w:sz w:val="16"/>
                <w:szCs w:val="16"/>
              </w:rPr>
              <w:t xml:space="preserve">NOT STARTED</w:t>
            </w:r>
          </w:p>
        </w:tc>
        <w:tc>
          <w:tcPr>
            <w:tcW w:type="dxa" w:w="77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Not built, and it IS required by the brief. This is the real backlog.</w:t>
            </w:r>
          </w:p>
        </w:tc>
      </w:tr>
    </w:tbl>
    <w:p>
      <w:pPr>
        <w:pStyle w:val="Heading1"/>
        <w:spacing w:after="100" w:before="320"/>
      </w:pPr>
      <w:r>
        <w:rPr>
          <w:rFonts w:ascii="Calibri" w:cs="Calibri" w:eastAsia="Calibri" w:hAnsi="Calibri"/>
          <w:b/>
          <w:bCs/>
          <w:color w:val="4F46E5"/>
          <w:sz w:val="26"/>
          <w:szCs w:val="26"/>
        </w:rPr>
        <w:t xml:space="preserve">Week 1 — CQRS Setup &amp; Dashboard Scaffolding</w:t>
      </w:r>
    </w:p>
    <w:p>
      <w:pPr>
        <w:spacing w:after="140" w:before="0" w:line="250"/>
      </w:pPr>
      <w:r>
        <w:rPr>
          <w:rFonts w:ascii="Calibri" w:cs="Calibri" w:eastAsia="Calibri" w:hAnsi="Calibri"/>
          <w:i/>
          <w:iCs/>
          <w:color w:val="3B4252"/>
          <w:sz w:val="17"/>
          <w:szCs w:val="17"/>
        </w:rPr>
        <w:t xml:space="preserve">Goal: structure the Express backend with separate Command and Query routers, and stand up a React dashboard shell with a shipment-ID search bar.</w:t>
      </w:r>
    </w:p>
    <w:tbl>
      <w:tblPr>
        <w:tblW w:type="dxa" w:w="9360"/>
        <w:tblBorders>
          <w:top w:val="single" w:color="D8DCE4" w:sz="2"/>
          <w:left w:val="single" w:color="D8DCE4" w:sz="2"/>
          <w:bottom w:val="single" w:color="D8DCE4" w:sz="2"/>
          <w:right w:val="single" w:color="D8DCE4" w:sz="2"/>
          <w:insideH w:val="single" w:color="D8DCE4" w:sz="2"/>
          <w:insideV w:val="single" w:color="D8DCE4" w:sz="2"/>
        </w:tblBorders>
      </w:tblPr>
      <w:tblGrid>
        <w:gridCol w:w="3000"/>
        <w:gridCol w:w="950"/>
        <w:gridCol w:w="2350"/>
        <w:gridCol w:w="3060"/>
      </w:tblGrid>
      <w:tr>
        <w:trPr>
          <w:tblHeader/>
        </w:trPr>
        <w:tc>
          <w:tcPr>
            <w:tcW w:type="dxa" w:w="300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Task</w:t>
            </w:r>
          </w:p>
        </w:tc>
        <w:tc>
          <w:tcPr>
            <w:tcW w:type="dxa" w:w="95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Status</w:t>
            </w:r>
          </w:p>
        </w:tc>
        <w:tc>
          <w:tcPr>
            <w:tcW w:type="dxa" w:w="235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File / Evidence</w:t>
            </w:r>
          </w:p>
        </w:tc>
        <w:tc>
          <w:tcPr>
            <w:tcW w:type="dxa" w:w="306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What is left / Notes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Structure the Express backend using CQRS principles</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backend/src/interfaces/http/commandRoutes/</w:t>
            </w:r>
          </w:p>
          <w:p>
            <w:pPr>
              <w:spacing w:after="0" w:line="250"/>
            </w:pPr>
            <w:r>
              <w:rPr>
                <w:rFonts w:ascii="Calibri" w:cs="Calibri" w:eastAsia="Calibri" w:hAnsi="Calibri"/>
                <w:b w:val="false"/>
                <w:bCs w:val="false"/>
                <w:i w:val="false"/>
                <w:iCs w:val="false"/>
                <w:color w:val="3B4252"/>
                <w:sz w:val="16"/>
                <w:szCs w:val="16"/>
              </w:rPr>
              <w:t xml:space="preserve">backend/src/interfaces/http/queryRoutes/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The split is physical, not just a URL prefix: the command router is only ever constructed with the command controller, so a query handler is never even in scope on that side, and vice versa.</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Command router — POST /shipment/move</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shipmentCommandRoutes.js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Now nine command endpoints: create, move, temperature, amend, archive, restore, and schedule plan/revise/extend. There is deliberately no PUT and no DELETE anywhere — editing and removing a shipment append events like any other command.</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Query router — GET /shipment/:id</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shipmentQueryRoutes.js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Now nine query routes (list, events, state?at=, sensors, integrity, reconciliation, schedule, :id, export). Route order is deliberate: /shipment/:id is registered last so it can't swallow /shipment/:id/events and the other sub-routes.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CQRS side is provable at the HTTP layer, not just by convention</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interfaces/http/middleware/index.js (tagCqrsSide)</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Every response carries an x-cqrs-side header (command/query), and tests/api asserts on it directly instead of trusting the file layout.</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React dashboard shell</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frontend/src/pages/DashboardPage.jsx</w:t>
            </w:r>
          </w:p>
          <w:p>
            <w:pPr>
              <w:spacing w:after="60" w:line="250"/>
            </w:pPr>
            <w:r>
              <w:rPr>
                <w:rFonts w:ascii="Calibri" w:cs="Calibri" w:eastAsia="Calibri" w:hAnsi="Calibri"/>
                <w:b w:val="false"/>
                <w:bCs w:val="false"/>
                <w:i w:val="false"/>
                <w:iCs w:val="false"/>
                <w:color w:val="3B4252"/>
                <w:sz w:val="16"/>
                <w:szCs w:val="16"/>
              </w:rPr>
              <w:t xml:space="preserve">layouts/AppLayout.jsx</w:t>
            </w:r>
          </w:p>
          <w:p>
            <w:pPr>
              <w:spacing w:after="0" w:line="250"/>
            </w:pPr>
            <w:r>
              <w:rPr>
                <w:rFonts w:ascii="Calibri" w:cs="Calibri" w:eastAsia="Calibri" w:hAnsi="Calibri"/>
                <w:b w:val="false"/>
                <w:bCs w:val="false"/>
                <w:i w:val="false"/>
                <w:iCs w:val="false"/>
                <w:color w:val="3B4252"/>
                <w:sz w:val="16"/>
                <w:szCs w:val="16"/>
              </w:rPr>
              <w:t xml:space="preserve">routes/AppRoutes.jsx</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Routed shell with a search bar to look up a specific shipment ID and a list view backed by the query API. A NotFoundPage and an ErrorBoundary now sit around it, so a render failure degrades instead of blanking the screen.</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Server-assigned shipment references (SHP-1, SHP-2, …)</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infrastructure/identity/shipmentIdAllocator.js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Not in the brief. Allocation is atomic — a single counter document incremented with findOneAndUpdate + $inc — rather than "read the max and add one", which is a race with a friendly face. A test fires twenty simultaneous creations and asserts twenty distinct ids. Supplying your own id is still allowed for seeding and backfills.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Country → State → City cascading dropdowns</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domain/shipment/reference/locations.js</w:t>
            </w:r>
          </w:p>
          <w:p>
            <w:pPr>
              <w:spacing w:after="60" w:line="250"/>
            </w:pPr>
            <w:r>
              <w:rPr>
                <w:rFonts w:ascii="Calibri" w:cs="Calibri" w:eastAsia="Calibri" w:hAnsi="Calibri"/>
                <w:b w:val="false"/>
                <w:bCs w:val="false"/>
                <w:i w:val="false"/>
                <w:iCs w:val="false"/>
                <w:color w:val="3B4252"/>
                <w:sz w:val="16"/>
                <w:szCs w:val="16"/>
              </w:rPr>
              <w:t xml:space="preserve">reference/cities.js</w:t>
            </w:r>
          </w:p>
          <w:p>
            <w:pPr>
              <w:spacing w:after="60" w:line="250"/>
            </w:pPr>
            <w:r>
              <w:rPr>
                <w:rFonts w:ascii="Calibri" w:cs="Calibri" w:eastAsia="Calibri" w:hAnsi="Calibri"/>
                <w:b w:val="false"/>
                <w:bCs w:val="false"/>
                <w:i w:val="false"/>
                <w:iCs w:val="false"/>
                <w:color w:val="3B4252"/>
                <w:sz w:val="16"/>
                <w:szCs w:val="16"/>
              </w:rPr>
              <w:t xml:space="preserve">GET /api/meta/locations</w:t>
            </w:r>
          </w:p>
          <w:p>
            <w:pPr>
              <w:spacing w:after="0" w:line="250"/>
            </w:pPr>
            <w:r>
              <w:rPr>
                <w:rFonts w:ascii="Calibri" w:cs="Calibri" w:eastAsia="Calibri" w:hAnsi="Calibri"/>
                <w:b w:val="false"/>
                <w:bCs w:val="false"/>
                <w:i w:val="false"/>
                <w:iCs w:val="false"/>
                <w:color w:val="3B4252"/>
                <w:sz w:val="16"/>
                <w:szCs w:val="16"/>
              </w:rPr>
              <w:t xml:space="preserve">frontend/src/components/LocationFields.jsx</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The catalogue lives in the domain layer and is served to the browser, so the dropdown cannot offer a pair the validator would refuse. Countries and states are ISO 3166 and validated exactly; cities have no authoritative registry, so the list (943 cities) always offers "Other — enter manually" and records cityFromCatalogue: true|false rather than claiming an authority it doesn't have.</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Create / amend dialog with full validation</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frontend/src/components/ShipmentFormDialog.jsx</w:t>
            </w:r>
          </w:p>
          <w:p>
            <w:pPr>
              <w:spacing w:after="0" w:line="250"/>
            </w:pPr>
            <w:r>
              <w:rPr>
                <w:rFonts w:ascii="Calibri" w:cs="Calibri" w:eastAsia="Calibri" w:hAnsi="Calibri"/>
                <w:b w:val="false"/>
                <w:bCs w:val="false"/>
                <w:i w:val="false"/>
                <w:iCs w:val="false"/>
                <w:color w:val="3B4252"/>
                <w:sz w:val="16"/>
                <w:szCs w:val="16"/>
              </w:rPr>
              <w:t xml:space="preserve">domain/shipment/validators/commandValidators.js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Container codes normalise as you type; the creation timestamp is assigned by the server, never the browser; the same rules are enforced again server-side, and a test posts bad country/state pairs directly to prove the backend does not depend on the UI.</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Rate limiting and a consistent error envelope</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interfaces/http/middleware/index.js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Applied to the command router only — the write path is the one worth protecting. In-process, so limits are per-instance; a multi-instance deployment would move the counter to Redis (logged in ENHANCEMENTS.md).</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Marketing / product landing page in front of the dashboard</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frontend/src/pages/LandingPage.jsx</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Not asked for by the brief. Explains the event-sourcing pitch and links through to the shipment ledger — useful for a viva, extra surface area to maintain.</w:t>
            </w:r>
          </w:p>
        </w:tc>
      </w:tr>
    </w:tbl>
    <w:p>
      <w:pPr>
        <w:pStyle w:val="Heading1"/>
        <w:spacing w:after="100" w:before="320"/>
      </w:pPr>
      <w:r>
        <w:rPr>
          <w:rFonts w:ascii="Calibri" w:cs="Calibri" w:eastAsia="Calibri" w:hAnsi="Calibri"/>
          <w:b/>
          <w:bCs/>
          <w:color w:val="4F46E5"/>
          <w:sz w:val="26"/>
          <w:szCs w:val="26"/>
        </w:rPr>
        <w:t xml:space="preserve">Week 2 — Event Store &amp; Timeline UI</w:t>
      </w:r>
    </w:p>
    <w:p>
      <w:pPr>
        <w:spacing w:after="140" w:before="0" w:line="250"/>
      </w:pPr>
      <w:r>
        <w:rPr>
          <w:rFonts w:ascii="Calibri" w:cs="Calibri" w:eastAsia="Calibri" w:hAnsi="Calibri"/>
          <w:i/>
          <w:iCs/>
          <w:color w:val="3B4252"/>
          <w:sz w:val="17"/>
          <w:szCs w:val="17"/>
        </w:rPr>
        <w:t xml:space="preserve">Goal: design the MongoDB schema for the append-only event log, and render the raw event sequence for a shipment as a vertical timeline.</w:t>
      </w:r>
    </w:p>
    <w:tbl>
      <w:tblPr>
        <w:tblW w:type="dxa" w:w="9360"/>
        <w:tblBorders>
          <w:top w:val="single" w:color="D8DCE4" w:sz="2"/>
          <w:left w:val="single" w:color="D8DCE4" w:sz="2"/>
          <w:bottom w:val="single" w:color="D8DCE4" w:sz="2"/>
          <w:right w:val="single" w:color="D8DCE4" w:sz="2"/>
          <w:insideH w:val="single" w:color="D8DCE4" w:sz="2"/>
          <w:insideV w:val="single" w:color="D8DCE4" w:sz="2"/>
        </w:tblBorders>
      </w:tblPr>
      <w:tblGrid>
        <w:gridCol w:w="3000"/>
        <w:gridCol w:w="950"/>
        <w:gridCol w:w="2350"/>
        <w:gridCol w:w="3060"/>
      </w:tblGrid>
      <w:tr>
        <w:trPr>
          <w:tblHeader/>
        </w:trPr>
        <w:tc>
          <w:tcPr>
            <w:tcW w:type="dxa" w:w="300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Task</w:t>
            </w:r>
          </w:p>
        </w:tc>
        <w:tc>
          <w:tcPr>
            <w:tcW w:type="dxa" w:w="95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Status</w:t>
            </w:r>
          </w:p>
        </w:tc>
        <w:tc>
          <w:tcPr>
            <w:tcW w:type="dxa" w:w="235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File / Evidence</w:t>
            </w:r>
          </w:p>
        </w:tc>
        <w:tc>
          <w:tcPr>
            <w:tcW w:type="dxa" w:w="306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What is left / Notes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Event Store schema (aggregateId, eventType, payload, timestamp, version)</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backend/src/infrastructure/eventStore/eventStoreRepository.js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Matches the brief's five fields exactly, plus a global sequence (for the projection worker to poll on) and a hash/prevHash pair.</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Append-only write path</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eventStoreRepository.js — append()</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append() is the only method that writes, and it only ever calls insertOne. There is no update/delete/replace/save method anywhere on the repository.</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Unique (aggregateId, version) index — history cannot fork or be overwritten</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infrastructure/mongodb + docs/database/DATABASE.md</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Backed by tests/database and tests/concurrency, and by the documented DB-account permissions (insert+find only, no update/remove).</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Cryptographic proof of the event sequence (hash chain)</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shared/utils/index.js — computeEventHash()</w:t>
            </w:r>
          </w:p>
          <w:p>
            <w:pPr>
              <w:spacing w:after="0" w:line="250"/>
            </w:pPr>
            <w:r>
              <w:rPr>
                <w:rFonts w:ascii="Calibri" w:cs="Calibri" w:eastAsia="Calibri" w:hAnsi="Calibri"/>
                <w:b w:val="false"/>
                <w:bCs w:val="false"/>
                <w:i w:val="false"/>
                <w:iCs w:val="false"/>
                <w:color w:val="3B4252"/>
                <w:sz w:val="16"/>
                <w:szCs w:val="16"/>
              </w:rPr>
              <w:t xml:space="preserve">GET /api/shipment/:id/integrity</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Each event stores a SHA-256 hash chained to its predecessor. A dedicated integrity endpoint (query side) re-walks the chain and reports the first broken link, if any — exactly the "cryptographic proof" the Project 2 use case describes.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Vertical timeline component (raw event sequence per shipment)</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frontend/src/components/EventTimeline.jsx</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Now renders all twelve event types, including the three schedule events, and labels simulated temperature readings as such on the entry itself. Covered by tests/components.test.jsx.</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Event catalogue generated from the constants the reducer validates against</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domain/shipment/events/eventTypes.js</w:t>
            </w:r>
          </w:p>
          <w:p>
            <w:pPr>
              <w:spacing w:after="60" w:line="250"/>
            </w:pPr>
            <w:r>
              <w:rPr>
                <w:rFonts w:ascii="Calibri" w:cs="Calibri" w:eastAsia="Calibri" w:hAnsi="Calibri"/>
                <w:b w:val="false"/>
                <w:bCs w:val="false"/>
                <w:i w:val="false"/>
                <w:iCs w:val="false"/>
                <w:color w:val="3B4252"/>
                <w:sz w:val="16"/>
                <w:szCs w:val="16"/>
              </w:rPr>
              <w:t xml:space="preserve">GET /api/meta/event-catalog</w:t>
            </w:r>
          </w:p>
          <w:p>
            <w:pPr>
              <w:spacing w:after="0" w:line="250"/>
            </w:pPr>
            <w:r>
              <w:rPr>
                <w:rFonts w:ascii="Calibri" w:cs="Calibri" w:eastAsia="Calibri" w:hAnsi="Calibri"/>
                <w:b w:val="false"/>
                <w:bCs w:val="false"/>
                <w:i w:val="false"/>
                <w:iCs w:val="false"/>
                <w:color w:val="3B4252"/>
                <w:sz w:val="16"/>
                <w:szCs w:val="16"/>
              </w:rPr>
              <w:t xml:space="preserve">docs/events/EVENT_CATALOG.md</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Each event type records whether it came from the source document or is a documented design decision, so a reviewer can see at a glance what was required and what was added. Because it is served from the same constant the reducer uses, the documentation cannot drift from the implementation.</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"Update" and "delete" expressed as events, not mutations</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SHIPMENT_DETAILS_AMENDED / SHIPMENT_ARCHIVED / SHIPMENT_RESTORED</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Amending appends a new fact carrying only what changed; CONTAINER_CREATED is never touched, so the scrubber still shows pre-correction values. Archiving is a listing concern only — no event is ever removed, and restoring appends rather than deleting the archive event.</w:t>
            </w:r>
          </w:p>
        </w:tc>
      </w:tr>
    </w:tbl>
    <w:p>
      <w:pPr>
        <w:pStyle w:val="Heading1"/>
        <w:spacing w:after="100" w:before="320"/>
      </w:pPr>
      <w:r>
        <w:rPr>
          <w:rFonts w:ascii="Calibri" w:cs="Calibri" w:eastAsia="Calibri" w:hAnsi="Calibri"/>
          <w:b/>
          <w:bCs/>
          <w:color w:val="4F46E5"/>
          <w:sz w:val="26"/>
          <w:szCs w:val="26"/>
        </w:rPr>
        <w:t xml:space="preserve">Mid-Project Review</w:t>
      </w:r>
    </w:p>
    <w:p>
      <w:pPr>
        <w:spacing w:after="140" w:before="0" w:line="250"/>
      </w:pPr>
      <w:r>
        <w:rPr>
          <w:rFonts w:ascii="Calibri" w:cs="Calibri" w:eastAsia="Calibri" w:hAnsi="Calibri"/>
          <w:i/>
          <w:iCs/>
          <w:color w:val="3B4252"/>
          <w:sz w:val="17"/>
          <w:szCs w:val="17"/>
        </w:rPr>
        <w:t xml:space="preserve">Goal: prove immutability (no UPDATE/DELETE on the Event Store) and prove state reconstruction (replaying events gives the correct current state).</w:t>
      </w:r>
    </w:p>
    <w:tbl>
      <w:tblPr>
        <w:tblW w:type="dxa" w:w="9360"/>
        <w:tblBorders>
          <w:top w:val="single" w:color="D8DCE4" w:sz="2"/>
          <w:left w:val="single" w:color="D8DCE4" w:sz="2"/>
          <w:bottom w:val="single" w:color="D8DCE4" w:sz="2"/>
          <w:right w:val="single" w:color="D8DCE4" w:sz="2"/>
          <w:insideH w:val="single" w:color="D8DCE4" w:sz="2"/>
          <w:insideV w:val="single" w:color="D8DCE4" w:sz="2"/>
        </w:tblBorders>
      </w:tblPr>
      <w:tblGrid>
        <w:gridCol w:w="3000"/>
        <w:gridCol w:w="950"/>
        <w:gridCol w:w="2350"/>
        <w:gridCol w:w="3060"/>
      </w:tblGrid>
      <w:tr>
        <w:trPr>
          <w:tblHeader/>
        </w:trPr>
        <w:tc>
          <w:tcPr>
            <w:tcW w:type="dxa" w:w="300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Task</w:t>
            </w:r>
          </w:p>
        </w:tc>
        <w:tc>
          <w:tcPr>
            <w:tcW w:type="dxa" w:w="95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Status</w:t>
            </w:r>
          </w:p>
        </w:tc>
        <w:tc>
          <w:tcPr>
            <w:tcW w:type="dxa" w:w="235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File / Evidence</w:t>
            </w:r>
          </w:p>
        </w:tc>
        <w:tc>
          <w:tcPr>
            <w:tcW w:type="dxa" w:w="306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What is left / Notes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Immutability Audit — prove UPDATE/DELETE are blocked</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backend/tests/database/immutability.test.js (11 tests)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Defended at four layers: no mutating methods exist on the repository; a #forbidden trap throws if one is ever added by habit; the unique index blocks even a direct-driver overwrite; and the hash chain makes any edit detectable. The tests reach past the application and tamper through the raw driver, then prove detection — and an untampered chain verifies clean, so the audit is not vacuous.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Reconstruction Check — current state derived by replaying history</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application/services/replayService.js — reconstructCurrentState()</w:t>
            </w:r>
          </w:p>
          <w:p>
            <w:pPr>
              <w:spacing w:after="0" w:line="250"/>
            </w:pPr>
            <w:r>
              <w:rPr>
                <w:rFonts w:ascii="Calibri" w:cs="Calibri" w:eastAsia="Calibri" w:hAnsi="Calibri"/>
                <w:b w:val="false"/>
                <w:bCs w:val="false"/>
                <w:i w:val="false"/>
                <w:iCs w:val="false"/>
                <w:color w:val="3B4252"/>
                <w:sz w:val="16"/>
                <w:szCs w:val="16"/>
              </w:rPr>
              <w:t xml:space="preserve">tests/integration/reconstruction.test.js (12 tests)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The reducer that folds events into state is the SAME function used by live replay and by the projection worker, so the two can never silently disagree. The worker is never started during this suite, so no read-model assumption can leak in.</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Event ordering is deterministic on replay</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domain/shipment/reducers/shipmentReducer.js</w:t>
            </w:r>
          </w:p>
          <w:p>
            <w:pPr>
              <w:spacing w:after="0" w:line="250"/>
            </w:pPr>
            <w:r>
              <w:rPr>
                <w:rFonts w:ascii="Calibri" w:cs="Calibri" w:eastAsia="Calibri" w:hAnsi="Calibri"/>
                <w:b w:val="false"/>
                <w:bCs w:val="false"/>
                <w:i w:val="false"/>
                <w:iCs w:val="false"/>
                <w:color w:val="3B4252"/>
                <w:sz w:val="16"/>
                <w:szCs w:val="16"/>
              </w:rPr>
              <w:t xml:space="preserve">tests/unit/shipmentReducer.test.js (14 tests)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Events are sorted by version before folding; the reducer rejects out-of-order replay rather than silently mis-computing state. One real regression was caught here during the enhancement round: confirmedStages briefly stored the confirming event's random eventId, so two databases fed identical commands reconstructed different states. It now stores version, which identifies the event deterministically.</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Immutable fields are listed explicitly, not implied by omission</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eventTypes.js — IMMUTABLE_FIELDS / AMENDABLE_FIELDS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shipmentId, aggregateId, createdAt and estimatedDurationDays are named as never-amendable, so the rule is checkable rather than inferred from absence. Duration still changes — but only through SHIPMENT_SCHEDULE_EXTENDED, which records why.</w:t>
            </w:r>
          </w:p>
        </w:tc>
      </w:tr>
    </w:tbl>
    <w:p>
      <w:pPr>
        <w:pStyle w:val="Heading1"/>
        <w:spacing w:after="100" w:before="320"/>
      </w:pPr>
      <w:r>
        <w:rPr>
          <w:rFonts w:ascii="Calibri" w:cs="Calibri" w:eastAsia="Calibri" w:hAnsi="Calibri"/>
          <w:b/>
          <w:bCs/>
          <w:color w:val="4F46E5"/>
          <w:sz w:val="26"/>
          <w:szCs w:val="26"/>
        </w:rPr>
        <w:t xml:space="preserve">Week 3 — Projections (Read Models) &amp; State Scrubbing</w:t>
      </w:r>
    </w:p>
    <w:p>
      <w:pPr>
        <w:spacing w:after="140" w:before="0" w:line="250"/>
      </w:pPr>
      <w:r>
        <w:rPr>
          <w:rFonts w:ascii="Calibri" w:cs="Calibri" w:eastAsia="Calibri" w:hAnsi="Calibri"/>
          <w:i/>
          <w:iCs/>
          <w:color w:val="3B4252"/>
          <w:sz w:val="17"/>
          <w:szCs w:val="17"/>
        </w:rPr>
        <w:t xml:space="preserve">Goal: a background worker turns the (slow-to-read) event stream into a fast Read Model collection; the UI gets a slider to rewind a shipment to any past moment.</w:t>
      </w:r>
    </w:p>
    <w:tbl>
      <w:tblPr>
        <w:tblW w:type="dxa" w:w="9360"/>
        <w:tblBorders>
          <w:top w:val="single" w:color="D8DCE4" w:sz="2"/>
          <w:left w:val="single" w:color="D8DCE4" w:sz="2"/>
          <w:bottom w:val="single" w:color="D8DCE4" w:sz="2"/>
          <w:right w:val="single" w:color="D8DCE4" w:sz="2"/>
          <w:insideH w:val="single" w:color="D8DCE4" w:sz="2"/>
          <w:insideV w:val="single" w:color="D8DCE4" w:sz="2"/>
        </w:tblBorders>
      </w:tblPr>
      <w:tblGrid>
        <w:gridCol w:w="3000"/>
        <w:gridCol w:w="950"/>
        <w:gridCol w:w="2350"/>
        <w:gridCol w:w="3060"/>
      </w:tblGrid>
      <w:tr>
        <w:trPr>
          <w:tblHeader/>
        </w:trPr>
        <w:tc>
          <w:tcPr>
            <w:tcW w:type="dxa" w:w="300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Task</w:t>
            </w:r>
          </w:p>
        </w:tc>
        <w:tc>
          <w:tcPr>
            <w:tcW w:type="dxa" w:w="95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Status</w:t>
            </w:r>
          </w:p>
        </w:tc>
        <w:tc>
          <w:tcPr>
            <w:tcW w:type="dxa" w:w="235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File / Evidence</w:t>
            </w:r>
          </w:p>
        </w:tc>
        <w:tc>
          <w:tcPr>
            <w:tcW w:type="dxa" w:w="306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What is left / Notes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Background projection worker</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backend/src/worker.js</w:t>
            </w:r>
          </w:p>
          <w:p>
            <w:pPr>
              <w:spacing w:after="0" w:line="250"/>
            </w:pPr>
            <w:r>
              <w:rPr>
                <w:rFonts w:ascii="Calibri" w:cs="Calibri" w:eastAsia="Calibri" w:hAnsi="Calibri"/>
                <w:b w:val="false"/>
                <w:bCs w:val="false"/>
                <w:i w:val="false"/>
                <w:iCs w:val="false"/>
                <w:color w:val="3B4252"/>
                <w:sz w:val="16"/>
                <w:szCs w:val="16"/>
              </w:rPr>
              <w:t xml:space="preserve">workers/projectionWorker/projectionWorker.js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Runs independently of the API process (WORKER_IN_PROCESS=false) and is checkpointed, so it resumes from where it left off after a restart.</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Read Model collection, derived and disposable</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infrastructure/readModel/shipmentReadModelRepository.js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Populated purely by folding events through the shared reducer — never written to directly by the command side. scripts/rebuildReadModel.js can drop and rebuild it from the log, which is the practical proof that it is disposable.</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Projection failures are observable</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infrastructure/projections/checkpointRepository.js</w:t>
            </w:r>
          </w:p>
          <w:p>
            <w:pPr>
              <w:spacing w:after="0" w:line="250"/>
            </w:pPr>
            <w:r>
              <w:rPr>
                <w:rFonts w:ascii="Calibri" w:cs="Calibri" w:eastAsia="Calibri" w:hAnsi="Calibri"/>
                <w:b w:val="false"/>
                <w:bCs w:val="false"/>
                <w:i w:val="false"/>
                <w:iCs w:val="false"/>
                <w:color w:val="3B4252"/>
                <w:sz w:val="16"/>
                <w:szCs w:val="16"/>
              </w:rPr>
              <w:t xml:space="preserve">GET /api/meta/worker</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Dead-lettering for events the worker can't apply, plus a status endpoint exposing worker health and read-side lag (latestSequence vs lastProcessedSequence).</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Duplicate event processing is safe (idempotent)</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shipmentProjection.js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Version-guarded upsert — re-processing the same event twice cannot double-apply it. Covered by tests/integration idempotency cases.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Reconciliation — projection state vs. full replay must agree</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application/services/reconciliationService.js</w:t>
            </w:r>
          </w:p>
          <w:p>
            <w:pPr>
              <w:spacing w:after="0" w:line="250"/>
            </w:pPr>
            <w:r>
              <w:rPr>
                <w:rFonts w:ascii="Calibri" w:cs="Calibri" w:eastAsia="Calibri" w:hAnsi="Calibri"/>
                <w:b w:val="false"/>
                <w:bCs w:val="false"/>
                <w:i w:val="false"/>
                <w:iCs w:val="false"/>
                <w:color w:val="3B4252"/>
                <w:sz w:val="16"/>
                <w:szCs w:val="16"/>
              </w:rPr>
              <w:t xml:space="preserve">GET /api/shipment/:id/reconciliation</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Not asked for by the brief; exists specifically to make "the read model could drift from the truth" a testable, not just theoretical, concern.</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State-scrubbing UI slider ("rewind time" 3 days ago, etc.)</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frontend/src/components/StateScrubber.jsx</w:t>
            </w:r>
          </w:p>
          <w:p>
            <w:pPr>
              <w:spacing w:after="0" w:line="250"/>
            </w:pPr>
            <w:r>
              <w:rPr>
                <w:rFonts w:ascii="Calibri" w:cs="Calibri" w:eastAsia="Calibri" w:hAnsi="Calibri"/>
                <w:b w:val="false"/>
                <w:bCs w:val="false"/>
                <w:i w:val="false"/>
                <w:iCs w:val="false"/>
                <w:color w:val="3B4252"/>
                <w:sz w:val="16"/>
                <w:szCs w:val="16"/>
              </w:rPr>
              <w:t xml:space="preserve">GET /api/shipment/:id/state?at=</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Backed by reconstructStateAt(); verified by 7 boundary-condition tests (before the first event, exactly on an event, on the spike, between events, at the last event, after it, and an invalid timestamp) plus frontend component tests. Scrubbing to a moment before a schedule revision correctly shows the plan as it stood then.</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Real-time updates without breaking CQRS</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infrastructure/realtime/shipmentEventBus.js</w:t>
            </w:r>
          </w:p>
          <w:p>
            <w:pPr>
              <w:spacing w:after="60" w:line="250"/>
            </w:pPr>
            <w:r>
              <w:rPr>
                <w:rFonts w:ascii="Calibri" w:cs="Calibri" w:eastAsia="Calibri" w:hAnsi="Calibri"/>
                <w:b w:val="false"/>
                <w:bCs w:val="false"/>
                <w:i w:val="false"/>
                <w:iCs w:val="false"/>
                <w:color w:val="3B4252"/>
                <w:sz w:val="16"/>
                <w:szCs w:val="16"/>
              </w:rPr>
              <w:t xml:space="preserve">GET /api/stream/shipments</w:t>
            </w:r>
          </w:p>
          <w:p>
            <w:pPr>
              <w:spacing w:after="0" w:line="250"/>
            </w:pPr>
            <w:r>
              <w:rPr>
                <w:rFonts w:ascii="Calibri" w:cs="Calibri" w:eastAsia="Calibri" w:hAnsi="Calibri"/>
                <w:b w:val="false"/>
                <w:bCs w:val="false"/>
                <w:i w:val="false"/>
                <w:iCs w:val="false"/>
                <w:color w:val="3B4252"/>
                <w:sz w:val="16"/>
                <w:szCs w:val="16"/>
              </w:rPr>
              <w:t xml:space="preserve">frontend/src/hooks/useShipmentStream.js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Server-sent events carry notifications, not data ("SHP-4 reached version 9"); the browser then re-runs the ordinary queries, so the read model stays the thing being read. Published by the worker after it commits, not at append time, so a refetch can't beat the projection. If the stream drops it backs off, gives up after five attempts and falls back to polling.</w:t>
            </w:r>
          </w:p>
        </w:tc>
      </w:tr>
    </w:tbl>
    <w:p>
      <w:pPr>
        <w:pStyle w:val="Heading1"/>
        <w:spacing w:after="100" w:before="320"/>
      </w:pPr>
      <w:r>
        <w:rPr>
          <w:rFonts w:ascii="Calibri" w:cs="Calibri" w:eastAsia="Calibri" w:hAnsi="Calibri"/>
          <w:b/>
          <w:bCs/>
          <w:color w:val="4F46E5"/>
          <w:sz w:val="26"/>
          <w:szCs w:val="26"/>
        </w:rPr>
        <w:t xml:space="preserve">Week 4 — Concurrency Control &amp; Refine / Polish</w:t>
      </w:r>
    </w:p>
    <w:p>
      <w:pPr>
        <w:spacing w:after="140" w:before="0" w:line="250"/>
      </w:pPr>
      <w:r>
        <w:rPr>
          <w:rFonts w:ascii="Calibri" w:cs="Calibri" w:eastAsia="Calibri" w:hAnsi="Calibri"/>
          <w:i/>
          <w:iCs/>
          <w:color w:val="3B4252"/>
          <w:sz w:val="17"/>
          <w:szCs w:val="17"/>
        </w:rPr>
        <w:t xml:space="preserve">Goal: reject a command if the event version has moved since the user loaded the page; overlay sensor metrics on the event timeline with Recharts.</w:t>
      </w:r>
    </w:p>
    <w:tbl>
      <w:tblPr>
        <w:tblW w:type="dxa" w:w="9360"/>
        <w:tblBorders>
          <w:top w:val="single" w:color="D8DCE4" w:sz="2"/>
          <w:left w:val="single" w:color="D8DCE4" w:sz="2"/>
          <w:bottom w:val="single" w:color="D8DCE4" w:sz="2"/>
          <w:right w:val="single" w:color="D8DCE4" w:sz="2"/>
          <w:insideH w:val="single" w:color="D8DCE4" w:sz="2"/>
          <w:insideV w:val="single" w:color="D8DCE4" w:sz="2"/>
        </w:tblBorders>
      </w:tblPr>
      <w:tblGrid>
        <w:gridCol w:w="3000"/>
        <w:gridCol w:w="950"/>
        <w:gridCol w:w="2350"/>
        <w:gridCol w:w="3060"/>
      </w:tblGrid>
      <w:tr>
        <w:trPr>
          <w:tblHeader/>
        </w:trPr>
        <w:tc>
          <w:tcPr>
            <w:tcW w:type="dxa" w:w="300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Task</w:t>
            </w:r>
          </w:p>
        </w:tc>
        <w:tc>
          <w:tcPr>
            <w:tcW w:type="dxa" w:w="95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Status</w:t>
            </w:r>
          </w:p>
        </w:tc>
        <w:tc>
          <w:tcPr>
            <w:tcW w:type="dxa" w:w="235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File / Evidence</w:t>
            </w:r>
          </w:p>
        </w:tc>
        <w:tc>
          <w:tcPr>
            <w:tcW w:type="dxa" w:w="306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What is left / Notes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Optimistic Concurrency Control (OCC)</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application/services/shipmentCommandService.js</w:t>
            </w:r>
          </w:p>
          <w:p>
            <w:pPr>
              <w:spacing w:after="0" w:line="250"/>
            </w:pPr>
            <w:r>
              <w:rPr>
                <w:rFonts w:ascii="Calibri" w:cs="Calibri" w:eastAsia="Calibri" w:hAnsi="Calibri"/>
                <w:b w:val="false"/>
                <w:bCs w:val="false"/>
                <w:i w:val="false"/>
                <w:iCs w:val="false"/>
                <w:color w:val="3B4252"/>
                <w:sz w:val="16"/>
                <w:szCs w:val="16"/>
              </w:rPr>
              <w:t xml:space="preserve">eventStoreRepository.js — append()</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Enforced twice on purpose: an explicit pre-check against the stored version (clean 409 response carrying both version numbers, for the UI to explain), plus the unique index as the backstop for a genuine race the pre-check alone can't catch.</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Race-condition proof — concurrent commands, only one wins</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backend/tests/concurrency/optimisticConcurrency.test.js (8 tests)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10 concurrent commands fired at the same aggregate; exactly one is accepted, the other nine receive CONCURRENCY_CONFLICT, and the stored version sequence is gapless. A second test proves the remediation path the error advertises actually works.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OCC holds across the newer commands too</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tests/integration/shipmentScheduling.test.js (33 tests)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The scheduling and lifecycle commands added later go through the same version check: a stale version is rejected on stage confirmation, and when two clients confirm the same stage simultaneously exactly one wins. Extending the command surface did not open a side door around OCC.</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Recharts sensor visualisation overlaid on the event timeline</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frontend/src/components/SensorChart.jsx</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Sensor points and timeline events share the same epoch and carry a matching eventId, so a temperature spike on the chart lines up exactly with the TEMPERATURE_SPIKE marker on the timeline. Simulated series are labelled "Simulated (not measured)" in the legend.</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Automatic temperature monitoring on an hourly cadence</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application/services/temperatureMonitorService.js</w:t>
            </w:r>
          </w:p>
          <w:p>
            <w:pPr>
              <w:spacing w:after="60" w:line="250"/>
            </w:pPr>
            <w:r>
              <w:rPr>
                <w:rFonts w:ascii="Calibri" w:cs="Calibri" w:eastAsia="Calibri" w:hAnsi="Calibri"/>
                <w:b w:val="false"/>
                <w:bCs w:val="false"/>
                <w:i w:val="false"/>
                <w:iCs w:val="false"/>
                <w:color w:val="3B4252"/>
                <w:sz w:val="16"/>
                <w:szCs w:val="16"/>
              </w:rPr>
              <w:t xml:space="preserve">infrastructure/sensors/sensorGateway.js</w:t>
            </w:r>
          </w:p>
          <w:p>
            <w:pPr>
              <w:spacing w:after="0" w:line="250"/>
            </w:pPr>
            <w:r>
              <w:rPr>
                <w:rFonts w:ascii="Calibri" w:cs="Calibri" w:eastAsia="Calibri" w:hAnsi="Calibri"/>
                <w:b w:val="false"/>
                <w:bCs w:val="false"/>
                <w:i w:val="false"/>
                <w:iCs w:val="false"/>
                <w:color w:val="3B4252"/>
                <w:sz w:val="16"/>
                <w:szCs w:val="16"/>
              </w:rPr>
              <w:t xml:space="preserve">GET /api/meta/sensors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The monitor is constructed with the command service, not the Event Store, so an automatic reading takes the identical validated path a hand-entered one takes. It never decides whether a reading is a breach — the aggregate does — so one reading yields exactly one event and there is no second alerting pass to fire twice. Every reading carries an immutable source (SIMULATED / EXTERNAL / MANUAL) surfaced in the chart, timeline and PDF. Known constraint: readings are appended forward of the stream head only, so a heavily backfilled shipment won't retro-fill gaps.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Lifecycle planner replacing the raw "Append a Command" panel</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frontend/src/components/LifecyclePlanner.jsx</w:t>
            </w:r>
          </w:p>
          <w:p>
            <w:pPr>
              <w:spacing w:after="60" w:line="250"/>
            </w:pPr>
            <w:r>
              <w:rPr>
                <w:rFonts w:ascii="Calibri" w:cs="Calibri" w:eastAsia="Calibri" w:hAnsi="Calibri"/>
                <w:b w:val="false"/>
                <w:bCs w:val="false"/>
                <w:i w:val="false"/>
                <w:iCs w:val="false"/>
                <w:color w:val="3B4252"/>
                <w:sz w:val="16"/>
                <w:szCs w:val="16"/>
              </w:rPr>
              <w:t xml:space="preserve">domain/shipment/schedule/schedulePolicy.js</w:t>
            </w:r>
          </w:p>
          <w:p>
            <w:pPr>
              <w:spacing w:after="0" w:line="250"/>
            </w:pPr>
            <w:r>
              <w:rPr>
                <w:rFonts w:ascii="Calibri" w:cs="Calibri" w:eastAsia="Calibri" w:hAnsi="Calibri"/>
                <w:b w:val="false"/>
                <w:bCs w:val="false"/>
                <w:i w:val="false"/>
                <w:iCs w:val="false"/>
                <w:color w:val="3B4252"/>
                <w:sz w:val="16"/>
                <w:szCs w:val="16"/>
              </w:rPr>
              <w:t xml:space="preserve">tests/unit/schedulePolicy.test.js (38 tests)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Plan → confirm → extend, built on three new events (SCHEDULE_PLANNED / REVISED / EXTENDED). Ticking a stage does not write an event; it dispatches MoveShipment carrying the loaded version. Confirmation still uses the source document's own LOADED_ON_SHIP / ARRIVED_AT_PORT / UNLOADED_FROM_SHIP — the planning layer was built around them, not instead of them.</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Estimated duration, planning window, and derived overdue status</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GET /api/shipment/:id/schedule</w:t>
            </w:r>
          </w:p>
          <w:p>
            <w:pPr>
              <w:spacing w:after="0" w:line="250"/>
            </w:pPr>
            <w:r>
              <w:rPr>
                <w:rFonts w:ascii="Calibri" w:cs="Calibri" w:eastAsia="Calibri" w:hAnsi="Calibri"/>
                <w:b w:val="false"/>
                <w:bCs w:val="false"/>
                <w:i w:val="false"/>
                <w:iCs w:val="false"/>
                <w:color w:val="3B4252"/>
                <w:sz w:val="16"/>
                <w:szCs w:val="16"/>
              </w:rPr>
              <w:t xml:space="preserve">deriveStageStatuses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The window opens on the creation day and closes at creation + estimatedDurationDays, widened only by an extension event. "Overdue" is computed from (planned date passed) AND (confirming event absent) — there is no isOverdue field anywhere, because a stored flag would be wrong the moment the clock moved and would need a mutation to correct. Extensions shift later unconfirmed stages only; confirmed stages are historical facts and never move.</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Loading / error / empty states across the dashboard</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frontend/src/components/StatusBlocks.jsx</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Shared component used by every panel (timeline, scrubber, chart, planner), so a slow or failed API call never renders a blank or stuck screen.</w:t>
            </w:r>
          </w:p>
        </w:tc>
      </w:tr>
    </w:tbl>
    <w:p>
      <w:pPr>
        <w:pStyle w:val="Heading1"/>
        <w:spacing w:after="100" w:before="320"/>
      </w:pPr>
      <w:r>
        <w:rPr>
          <w:rFonts w:ascii="Calibri" w:cs="Calibri" w:eastAsia="Calibri" w:hAnsi="Calibri"/>
          <w:b/>
          <w:bCs/>
          <w:color w:val="4F46E5"/>
          <w:sz w:val="26"/>
          <w:szCs w:val="26"/>
        </w:rPr>
        <w:t xml:space="preserve">Final Review — Testing, Documentation, Deployment</w:t>
      </w:r>
    </w:p>
    <w:p>
      <w:pPr>
        <w:spacing w:after="140" w:before="0" w:line="250"/>
      </w:pPr>
      <w:r>
        <w:rPr>
          <w:rFonts w:ascii="Calibri" w:cs="Calibri" w:eastAsia="Calibri" w:hAnsi="Calibri"/>
          <w:i/>
          <w:iCs/>
          <w:color w:val="3B4252"/>
          <w:sz w:val="17"/>
          <w:szCs w:val="17"/>
        </w:rPr>
        <w:t xml:space="preserve">Goal: an enterprise-grade, tested, documented event-sourcing system — not basic CRUD — that a new developer could pick up and run.</w:t>
      </w:r>
    </w:p>
    <w:tbl>
      <w:tblPr>
        <w:tblW w:type="dxa" w:w="9360"/>
        <w:tblBorders>
          <w:top w:val="single" w:color="D8DCE4" w:sz="2"/>
          <w:left w:val="single" w:color="D8DCE4" w:sz="2"/>
          <w:bottom w:val="single" w:color="D8DCE4" w:sz="2"/>
          <w:right w:val="single" w:color="D8DCE4" w:sz="2"/>
          <w:insideH w:val="single" w:color="D8DCE4" w:sz="2"/>
          <w:insideV w:val="single" w:color="D8DCE4" w:sz="2"/>
        </w:tblBorders>
      </w:tblPr>
      <w:tblGrid>
        <w:gridCol w:w="3000"/>
        <w:gridCol w:w="950"/>
        <w:gridCol w:w="2350"/>
        <w:gridCol w:w="3060"/>
      </w:tblGrid>
      <w:tr>
        <w:trPr>
          <w:tblHeader/>
        </w:trPr>
        <w:tc>
          <w:tcPr>
            <w:tcW w:type="dxa" w:w="300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Task</w:t>
            </w:r>
          </w:p>
        </w:tc>
        <w:tc>
          <w:tcPr>
            <w:tcW w:type="dxa" w:w="95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Status</w:t>
            </w:r>
          </w:p>
        </w:tc>
        <w:tc>
          <w:tcPr>
            <w:tcW w:type="dxa" w:w="235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File / Evidence</w:t>
            </w:r>
          </w:p>
        </w:tc>
        <w:tc>
          <w:tcPr>
            <w:tcW w:type="dxa" w:w="3060"/>
            <w:tcBorders>
              <w:top w:val="single" w:color="D8DCE4" w:sz="2"/>
              <w:left w:val="single" w:color="D8DCE4" w:sz="2"/>
              <w:bottom w:val="single" w:color="D8DCE4" w:sz="2"/>
              <w:right w:val="single" w:color="D8DCE4" w:sz="2"/>
            </w:tcBorders>
            <w:shd w:fill="2D3142" w:color="auto" w:val="clear"/>
            <w:tcMar>
              <w:top w:type="dxa" w:w="90"/>
              <w:left w:type="dxa" w:w="110"/>
              <w:bottom w:type="dxa" w:w="90"/>
              <w:right w:type="dxa" w:w="110"/>
            </w:tcMar>
            <w:vAlign w:val="center"/>
          </w:tcPr>
          <w:p>
            <w:pPr>
              <w:spacing w:after="0" w:line="240"/>
            </w:pPr>
            <w:r>
              <w:rPr>
                <w:rFonts w:ascii="Calibri" w:cs="Calibri" w:eastAsia="Calibri" w:hAnsi="Calibri"/>
                <w:b/>
                <w:bCs/>
                <w:color w:val="FFFFFF"/>
                <w:sz w:val="17"/>
                <w:szCs w:val="17"/>
              </w:rPr>
              <w:t xml:space="preserve">What is left / Notes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Automated test suite</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backend/tests/ (unit, integration, api, database, concurrency)</w:t>
            </w:r>
          </w:p>
          <w:p>
            <w:pPr>
              <w:spacing w:after="0" w:line="250"/>
            </w:pPr>
            <w:r>
              <w:rPr>
                <w:rFonts w:ascii="Calibri" w:cs="Calibri" w:eastAsia="Calibri" w:hAnsi="Calibri"/>
                <w:b w:val="false"/>
                <w:bCs w:val="false"/>
                <w:i w:val="false"/>
                <w:iCs w:val="false"/>
                <w:color w:val="3B4252"/>
                <w:sz w:val="16"/>
                <w:szCs w:val="16"/>
              </w:rPr>
              <w:t xml:space="preserve">frontend/tests/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229 backend checks + 79 frontend checks, all passing — re-run against this build on 29 August. Backend splits 83 unit / 93 integration / 23 API / 22 database / 8 concurrency; frontend splits 37 component / 42 lifecycle. Covers the aggregate, the reducer, the event store, immutability, reconstruction, OCC, scheduling, temperature monitoring, the HTTP API and the React components.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Documentation set</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docs/ (architecture, scheduling &amp; monitoring, database, events, api, testing, demonstration, project-status, troubleshooting, enhancements)</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10 documents under docs/ plus README.md and SETUP.md — roughly 2,280 lines. Includes a viva-ready Definition-of-Done checklist (PROJECT_STATUS.md), a 10-minute demonstration script, and a design-decisions write-up covering the enhancement round.</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README lets a new developer run the system from zero</w:t>
            </w:r>
          </w:p>
        </w:tc>
        <w:tc>
          <w:tcPr>
            <w:tcW w:type="dxa" w:w="950"/>
            <w:tcBorders>
              <w:top w:val="single" w:color="D8DCE4" w:sz="2"/>
              <w:left w:val="single" w:color="D8DCE4" w:sz="2"/>
              <w:bottom w:val="single" w:color="D8DCE4" w:sz="2"/>
              <w:right w:val="single" w:color="D8DCE4" w:sz="2"/>
            </w:tcBorders>
            <w:shd w:fill="D5F0D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B6B3A"/>
                <w:sz w:val="15"/>
                <w:szCs w:val="15"/>
              </w:rPr>
              <w:t xml:space="preserve">DONE</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README.md (repo root)</w:t>
            </w:r>
          </w:p>
          <w:p>
            <w:pPr>
              <w:spacing w:after="60" w:line="250"/>
            </w:pPr>
            <w:r>
              <w:rPr>
                <w:rFonts w:ascii="Calibri" w:cs="Calibri" w:eastAsia="Calibri" w:hAnsi="Calibri"/>
                <w:b w:val="false"/>
                <w:bCs w:val="false"/>
                <w:i w:val="false"/>
                <w:iCs w:val="false"/>
                <w:color w:val="3B4252"/>
                <w:sz w:val="16"/>
                <w:szCs w:val="16"/>
              </w:rPr>
              <w:t xml:space="preserve">audit-trail/README.md</w:t>
            </w:r>
          </w:p>
          <w:p>
            <w:pPr>
              <w:spacing w:after="0" w:line="250"/>
            </w:pPr>
            <w:r>
              <w:rPr>
                <w:rFonts w:ascii="Calibri" w:cs="Calibri" w:eastAsia="Calibri" w:hAnsi="Calibri"/>
                <w:b w:val="false"/>
                <w:bCs w:val="false"/>
                <w:i w:val="false"/>
                <w:iCs w:val="false"/>
                <w:color w:val="3B4252"/>
                <w:sz w:val="16"/>
                <w:szCs w:val="16"/>
              </w:rPr>
              <w:t xml:space="preserve">SETUP.md</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Two quick-start paths documented: in-memory (no DB needed, for a fast demo) and full MongoDB, plus a three-process mode that runs the API and the projection worker separately. A separate Windows/VS Code walkthrough is also included.</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Forensic PDF audit report</w:t>
            </w:r>
          </w:p>
        </w:tc>
        <w:tc>
          <w:tcPr>
            <w:tcW w:type="dxa" w:w="950"/>
            <w:tcBorders>
              <w:top w:val="single" w:color="D8DCE4" w:sz="2"/>
              <w:left w:val="single" w:color="D8DCE4" w:sz="2"/>
              <w:bottom w:val="single" w:color="D8DCE4" w:sz="2"/>
              <w:right w:val="single" w:color="D8DCE4" w:sz="2"/>
            </w:tcBorders>
            <w:shd w:fill="D6E4FA"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1D4ED8"/>
                <w:sz w:val="15"/>
                <w:szCs w:val="15"/>
              </w:rPr>
              <w:t xml:space="preserve">BONUS</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application/queries/exportShipmentHistory.js</w:t>
            </w:r>
          </w:p>
          <w:p>
            <w:pPr>
              <w:spacing w:after="60" w:line="250"/>
            </w:pPr>
            <w:r>
              <w:rPr>
                <w:rFonts w:ascii="Calibri" w:cs="Calibri" w:eastAsia="Calibri" w:hAnsi="Calibri"/>
                <w:b w:val="false"/>
                <w:bCs w:val="false"/>
                <w:i w:val="false"/>
                <w:iCs w:val="false"/>
                <w:color w:val="3B4252"/>
                <w:sz w:val="16"/>
                <w:szCs w:val="16"/>
              </w:rPr>
              <w:t xml:space="preserve">queries/shipmentReport.js</w:t>
            </w:r>
          </w:p>
          <w:p>
            <w:pPr>
              <w:spacing w:after="0" w:line="250"/>
            </w:pPr>
            <w:r>
              <w:rPr>
                <w:rFonts w:ascii="Calibri" w:cs="Calibri" w:eastAsia="Calibri" w:hAnsi="Calibri"/>
                <w:b w:val="false"/>
                <w:bCs w:val="false"/>
                <w:i w:val="false"/>
                <w:iCs w:val="false"/>
                <w:color w:val="3B4252"/>
                <w:sz w:val="16"/>
                <w:szCs w:val="16"/>
              </w:rPr>
              <w:t xml:space="preserve">GET /api/shipment/:id/export</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Rewritten for a reader who has never seen the schema: ten sections from identification through to a verification statement. It never implies stored state where there is reconstructed state, keeps "originally planned / currently planned / actually confirmed" as separate columns, labels simulated readings, and thins in-range readings while keeping every alert in full. A 300-reading history is covered by a pagination test.</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Refresh the test counts quoted in the docs</w:t>
            </w:r>
          </w:p>
        </w:tc>
        <w:tc>
          <w:tcPr>
            <w:tcW w:type="dxa" w:w="950"/>
            <w:tcBorders>
              <w:top w:val="single" w:color="D8DCE4" w:sz="2"/>
              <w:left w:val="single" w:color="D8DCE4" w:sz="2"/>
              <w:bottom w:val="single" w:color="D8DCE4" w:sz="2"/>
              <w:right w:val="single" w:color="D8DCE4" w:sz="2"/>
            </w:tcBorders>
            <w:shd w:fill="FADBD8"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A32E2E"/>
                <w:sz w:val="15"/>
                <w:szCs w:val="15"/>
              </w:rPr>
              <w:t xml:space="preserve">NOT STARTED</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60" w:line="250"/>
            </w:pPr>
            <w:r>
              <w:rPr>
                <w:rFonts w:ascii="Calibri" w:cs="Calibri" w:eastAsia="Calibri" w:hAnsi="Calibri"/>
                <w:b w:val="false"/>
                <w:bCs w:val="false"/>
                <w:i w:val="false"/>
                <w:iCs w:val="false"/>
                <w:color w:val="3B4252"/>
                <w:sz w:val="16"/>
                <w:szCs w:val="16"/>
              </w:rPr>
              <w:t xml:space="preserve">docs/PROJECT_STATUS.md</w:t>
            </w:r>
          </w:p>
          <w:p>
            <w:pPr>
              <w:spacing w:after="60" w:line="250"/>
            </w:pPr>
            <w:r>
              <w:rPr>
                <w:rFonts w:ascii="Calibri" w:cs="Calibri" w:eastAsia="Calibri" w:hAnsi="Calibri"/>
                <w:b w:val="false"/>
                <w:bCs w:val="false"/>
                <w:i w:val="false"/>
                <w:iCs w:val="false"/>
                <w:color w:val="3B4252"/>
                <w:sz w:val="16"/>
                <w:szCs w:val="16"/>
              </w:rPr>
              <w:t xml:space="preserve">docs/testing/TESTING.md</w:t>
            </w:r>
          </w:p>
          <w:p>
            <w:pPr>
              <w:spacing w:after="0" w:line="250"/>
            </w:pPr>
            <w:r>
              <w:rPr>
                <w:rFonts w:ascii="Calibri" w:cs="Calibri" w:eastAsia="Calibri" w:hAnsi="Calibri"/>
                <w:b w:val="false"/>
                <w:bCs w:val="false"/>
                <w:i w:val="false"/>
                <w:iCs w:val="false"/>
                <w:color w:val="3B4252"/>
                <w:sz w:val="16"/>
                <w:szCs w:val="16"/>
              </w:rPr>
              <w:t xml:space="preserve">docs/architecture/SCHEDULING_AND_MONITORING.md §10</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The only genuine backlog item. PROJECT_STATUS.md and TESTING.md still say 115 backend / 34 frontend; SCHEDULING_AND_MONITORING.md §10 says 223 / 71. The verified figures are 229 / 79. PROJECT_STATUS.md also still says "8 documents" (now 10) and does not list the scheduling, monitoring, real-time or reporting work in its Definition-of-Done table. Fifteen minutes of editing; worth doing before a review, because a reviewer who runs npm test will see the mismatch.</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Browser-driven Playwright end-to-end tests</w:t>
            </w:r>
          </w:p>
        </w:tc>
        <w:tc>
          <w:tcPr>
            <w:tcW w:type="dxa" w:w="950"/>
            <w:tcBorders>
              <w:top w:val="single" w:color="D8DCE4" w:sz="2"/>
              <w:left w:val="single" w:color="D8DCE4" w:sz="2"/>
              <w:bottom w:val="single" w:color="D8DCE4" w:sz="2"/>
              <w:right w:val="single" w:color="D8DCE4" w:sz="2"/>
            </w:tcBorders>
            <w:shd w:fill="FBE0C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9A5A16"/>
                <w:sz w:val="15"/>
                <w:szCs w:val="15"/>
              </w:rPr>
              <w:t xml:space="preserve">OPTIONAL</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docs/testing/TESTING.md</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Explicitly scoped out and documented why: they need a browser binary and a live MongoDB, which this deliverable can't self-verify. TESTING.md gives the equivalent manual click-through, and the API suite already exercises every route over real HTTP.</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Deployment / hosting configuration</w:t>
            </w:r>
          </w:p>
        </w:tc>
        <w:tc>
          <w:tcPr>
            <w:tcW w:type="dxa" w:w="950"/>
            <w:tcBorders>
              <w:top w:val="single" w:color="D8DCE4" w:sz="2"/>
              <w:left w:val="single" w:color="D8DCE4" w:sz="2"/>
              <w:bottom w:val="single" w:color="D8DCE4" w:sz="2"/>
              <w:right w:val="single" w:color="D8DCE4" w:sz="2"/>
            </w:tcBorders>
            <w:shd w:fill="FBE0C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9A5A16"/>
                <w:sz w:val="15"/>
                <w:szCs w:val="15"/>
              </w:rPr>
              <w:t xml:space="preserve">OPTIONAL</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Roadmap marks this optional and names no target platform. Production-readiness that IS in place regardless: graceful shutdown, DB connection retry with backoff, health checks (/health reports DB, worker and monitor), structured/redacted logs, and a worker that can be deployed as its own process.</w:t>
            </w:r>
          </w:p>
        </w:tc>
      </w:tr>
      <w:tr>
        <w:tc>
          <w:tcPr>
            <w:tcW w:type="dxa" w:w="300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bCs/>
                <w:i w:val="false"/>
                <w:iCs w:val="false"/>
                <w:color w:val="1F2430"/>
                <w:sz w:val="17"/>
                <w:szCs w:val="17"/>
              </w:rPr>
              <w:t xml:space="preserve">Authentication / authorisation on the write path</w:t>
            </w:r>
          </w:p>
        </w:tc>
        <w:tc>
          <w:tcPr>
            <w:tcW w:type="dxa" w:w="950"/>
            <w:tcBorders>
              <w:top w:val="single" w:color="D8DCE4" w:sz="2"/>
              <w:left w:val="single" w:color="D8DCE4" w:sz="2"/>
              <w:bottom w:val="single" w:color="D8DCE4" w:sz="2"/>
              <w:right w:val="single" w:color="D8DCE4" w:sz="2"/>
            </w:tcBorders>
            <w:shd w:fill="FBE0CC" w:color="auto" w:val="clear"/>
            <w:tcMar>
              <w:top w:type="dxa" w:w="90"/>
              <w:left w:type="dxa" w:w="110"/>
              <w:bottom w:type="dxa" w:w="90"/>
              <w:right w:type="dxa" w:w="110"/>
            </w:tcMar>
            <w:vAlign w:val="center"/>
          </w:tcPr>
          <w:p>
            <w:pPr>
              <w:spacing w:after="0" w:line="240"/>
              <w:jc w:val="center"/>
            </w:pPr>
            <w:r>
              <w:rPr>
                <w:rFonts w:ascii="Calibri" w:cs="Calibri" w:eastAsia="Calibri" w:hAnsi="Calibri"/>
                <w:b/>
                <w:bCs/>
                <w:color w:val="9A5A16"/>
                <w:sz w:val="15"/>
                <w:szCs w:val="15"/>
              </w:rPr>
              <w:t xml:space="preserve">OPTIONAL</w:t>
            </w:r>
          </w:p>
        </w:tc>
        <w:tc>
          <w:tcPr>
            <w:tcW w:type="dxa" w:w="235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3B4252"/>
                <w:sz w:val="16"/>
                <w:szCs w:val="16"/>
              </w:rPr>
              <w:t xml:space="preserve">docs/architecture/ENHANCEMENTS.md</w:t>
            </w:r>
          </w:p>
        </w:tc>
        <w:tc>
          <w:tcPr>
            <w:tcW w:type="dxa" w:w="3060"/>
            <w:tcBorders>
              <w:top w:val="single" w:color="D8DCE4" w:sz="2"/>
              <w:left w:val="single" w:color="D8DCE4" w:sz="2"/>
              <w:bottom w:val="single" w:color="D8DCE4" w:sz="2"/>
              <w:right w:val="single" w:color="D8DCE4" w:sz="2"/>
            </w:tcBorders>
            <w:tcMar>
              <w:top w:type="dxa" w:w="90"/>
              <w:left w:type="dxa" w:w="110"/>
              <w:bottom w:type="dxa" w:w="90"/>
              <w:right w:type="dxa" w:w="110"/>
            </w:tcMar>
            <w:vAlign w:val="center"/>
          </w:tcPr>
          <w:p>
            <w:pPr>
              <w:spacing w:after="0" w:line="250"/>
            </w:pPr>
            <w:r>
              <w:rPr>
                <w:rFonts w:ascii="Calibri" w:cs="Calibri" w:eastAsia="Calibri" w:hAnsi="Calibri"/>
                <w:b w:val="false"/>
                <w:bCs w:val="false"/>
                <w:i w:val="false"/>
                <w:iCs w:val="false"/>
                <w:color w:val="1F2430"/>
                <w:sz w:val="17"/>
                <w:szCs w:val="17"/>
              </w:rPr>
              <w:t xml:space="preserve">Out of scope per the roadmap, and not present in this build. The groundwork is here — every event carries a null actor field ready to be populated at the API boundary — and the docs are explicit that any auth layer added later must never gain the ability to mutate the Event Store. If you are submitting the separate authenticated build instead, merge it forward onto this one and re-run both suites, because the enhancement work above is newer.</w:t>
            </w:r>
          </w:p>
        </w:tc>
      </w:tr>
    </w:tbl>
    <w:p>
      <w:pPr>
        <w:pStyle w:val="Heading1"/>
        <w:spacing w:after="100" w:before="320"/>
      </w:pPr>
      <w:r>
        <w:rPr>
          <w:rFonts w:ascii="Calibri" w:cs="Calibri" w:eastAsia="Calibri" w:hAnsi="Calibri"/>
          <w:b/>
          <w:bCs/>
          <w:color w:val="4F46E5"/>
          <w:sz w:val="26"/>
          <w:szCs w:val="26"/>
        </w:rPr>
        <w:t xml:space="preserve">Beyond the brief — bonus work worth mentioning in a review</w:t>
      </w:r>
    </w:p>
    <w:p>
      <w:pPr>
        <w:spacing w:after="60" w:before="0" w:line="250"/>
      </w:pPr>
      <w:r>
        <w:rPr>
          <w:rFonts w:ascii="Calibri" w:cs="Calibri" w:eastAsia="Calibri" w:hAnsi="Calibri"/>
          <w:b w:val="false"/>
          <w:bCs w:val="false"/>
          <w:i w:val="false"/>
          <w:iCs w:val="false"/>
          <w:color w:val="1F2430"/>
          <w:sz w:val="18"/>
          <w:szCs w:val="18"/>
        </w:rPr>
        <w:t xml:space="preserve">Nine items exceed the Project 2 brief, and all of them ride on the same four pillars the brief asked for — none required changing the Event Store schema or the CQRS boundary:</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Hash-chained, tamper-evident Event Store with a live /integrity verification endpoint (SHA-256, each event linked to its predecessor).</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Projection-vs-replay reconciliation endpoint, so "the read model could silently drift" is a tested claim rather than an assumption.</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Atomically allocated SHP-N shipment references, proven against twenty simultaneous creations.</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An ISO-3166 location catalogue served from the domain layer, driving country → state → city dropdowns that cannot offer a pair the validator would refuse.</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A fully event-sourced lifecycle planner: three schedule events, derived (never stored) overdue status, and extensions that move only unconfirmed stages.</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Automatic temperature monitoring that issues commands rather than writing events, with the provenance of every reading recorded immutably.</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Server-sent-event notifications published after the projection commits, so real-time refresh cannot show state the read model has not caught up to.</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A ten-section forensic PDF report that separates plans from facts and labels simulated data.</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An x-cqrs-side response header and a marketing landing page in front of the dashboard.</w:t>
      </w:r>
    </w:p>
    <w:p>
      <w:pPr>
        <w:pStyle w:val="Heading1"/>
        <w:spacing w:after="100" w:before="320"/>
      </w:pPr>
      <w:r>
        <w:rPr>
          <w:rFonts w:ascii="Calibri" w:cs="Calibri" w:eastAsia="Calibri" w:hAnsi="Calibri"/>
          <w:b/>
          <w:bCs/>
          <w:color w:val="4F46E5"/>
          <w:sz w:val="26"/>
          <w:szCs w:val="26"/>
        </w:rPr>
        <w:t xml:space="preserve">What's actually left</w:t>
      </w:r>
    </w:p>
    <w:p>
      <w:pPr>
        <w:spacing w:after="60" w:before="0" w:line="250"/>
      </w:pPr>
      <w:r>
        <w:rPr>
          <w:rFonts w:ascii="Calibri" w:cs="Calibri" w:eastAsia="Calibri" w:hAnsi="Calibri"/>
          <w:b w:val="false"/>
          <w:bCs w:val="false"/>
          <w:i w:val="false"/>
          <w:iCs w:val="false"/>
          <w:color w:val="1F2430"/>
          <w:sz w:val="18"/>
          <w:szCs w:val="18"/>
        </w:rPr>
        <w:t xml:space="preserve">Nothing required by the Week 1–4 roadmap is outstanding. Three tiers of open work remain, in order of how much they matter:</w:t>
      </w:r>
    </w:p>
    <w:p>
      <w:pPr>
        <w:pStyle w:val="Heading2"/>
        <w:spacing w:after="80" w:before="260"/>
      </w:pPr>
      <w:r>
        <w:rPr>
          <w:rFonts w:ascii="Calibri" w:cs="Calibri" w:eastAsia="Calibri" w:hAnsi="Calibri"/>
          <w:b/>
          <w:bCs/>
          <w:color w:val="1F2430"/>
          <w:sz w:val="22"/>
          <w:szCs w:val="22"/>
        </w:rPr>
        <w:t xml:space="preserve">1. Required housekeeping — do this before a review</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Refresh the stale test counts and the Definition-of-Done table in PROJECT_STATUS.md, TESTING.md and SCHEDULING_AND_MONITORING.md §10. Verified figures: 229 backend, 79 frontend.</w:t>
      </w:r>
    </w:p>
    <w:p>
      <w:pPr>
        <w:pStyle w:val="Heading2"/>
        <w:spacing w:after="80" w:before="260"/>
      </w:pPr>
      <w:r>
        <w:rPr>
          <w:rFonts w:ascii="Calibri" w:cs="Calibri" w:eastAsia="Calibri" w:hAnsi="Calibri"/>
          <w:b/>
          <w:bCs/>
          <w:color w:val="1F2430"/>
          <w:sz w:val="22"/>
          <w:szCs w:val="22"/>
        </w:rPr>
        <w:t xml:space="preserve">2. Explicitly optional — will not fail a review</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Playwright end-to-end tests (documented rationale for omission; manual click-through provided instead).</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Deployment / hosting configuration (no target platform specified by the roadmap).</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Authentication and authorisation on the write path (actor field already threaded through every event).</w:t>
      </w:r>
    </w:p>
    <w:p>
      <w:pPr>
        <w:pStyle w:val="Heading2"/>
        <w:spacing w:after="80" w:before="260"/>
      </w:pPr>
      <w:r>
        <w:rPr>
          <w:rFonts w:ascii="Calibri" w:cs="Calibri" w:eastAsia="Calibri" w:hAnsi="Calibri"/>
          <w:b/>
          <w:bCs/>
          <w:color w:val="1F2430"/>
          <w:sz w:val="22"/>
          <w:szCs w:val="22"/>
        </w:rPr>
        <w:t xml:space="preserve">3. Logged future work — nothing here was asked for by Project 2</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Cryptographic strengthening: event signing and external hash anchoring, which would move the system from tamper-evident to tamper-proof against an attacker holding direct database write access. Anchoring is the highest value-per-effort item on the list.</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Snapshotting, to turn replay from O(events) into O(events since snapshot) — unjustified until a shipment plausibly reaches thousands of events.</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MongoDB change streams in place of worker polling (needs a replica set, so it would stop the project running against a standalone mongod).</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Distributed rate limiting, compensating (correction) events, and timeline virtualisation with cursor pagination for very long streams.</w:t>
      </w:r>
    </w:p>
    <w:p>
      <w:pPr>
        <w:pStyle w:val="ListParagraph"/>
        <w:numPr>
          <w:ilvl w:val="0"/>
          <w:numId w:val="2"/>
        </w:numPr>
        <w:spacing w:after="60" w:before="0" w:line="250"/>
      </w:pPr>
      <w:r>
        <w:rPr>
          <w:rFonts w:ascii="Calibri" w:cs="Calibri" w:eastAsia="Calibri" w:hAnsi="Calibri"/>
          <w:b w:val="false"/>
          <w:bCs w:val="false"/>
          <w:i w:val="false"/>
          <w:iCs w:val="false"/>
          <w:color w:val="1F2430"/>
          <w:sz w:val="18"/>
          <w:szCs w:val="18"/>
        </w:rPr>
        <w:t xml:space="preserve">The one known behavioural constraint: temperature readings are forward-fill only, so a heavily backfilled shipment will not retroactively fill gaps behind events already written. This is a deliberate trade — chronological integrity over gap-filling convenience.</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30"/>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2026-08-29T16:57:45.532Z</dcterms:created>
  <dcterms:modified xsi:type="dcterms:W3CDTF">2026-08-29T16:57:45.544Z</dcterms:modified>
</cp:coreProperties>
</file>

<file path=docProps/custom.xml><?xml version="1.0" encoding="utf-8"?>
<Properties xmlns="http://schemas.openxmlformats.org/officeDocument/2006/custom-properties" xmlns:vt="http://schemas.openxmlformats.org/officeDocument/2006/docPropsVTypes"/>
</file>