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3A41B2" w14:textId="77777777" w:rsidR="007C2846" w:rsidRDefault="007C2846" w:rsidP="007C2846">
      <w:pPr>
        <w:jc w:val="left"/>
        <w:rPr>
          <w:sz w:val="24"/>
        </w:rPr>
      </w:pPr>
      <w:r>
        <w:t xml:space="preserve">HORIZON-CL2-2027-02-DEMOCRACY-09-two-stage </w:t>
      </w:r>
    </w:p>
    <w:p w14:paraId="55F6F592" w14:textId="77777777" w:rsidR="007C2846" w:rsidRDefault="007C2846" w:rsidP="007C2846">
      <w:pPr>
        <w:pStyle w:val="Heading1"/>
      </w:pPr>
      <w:r>
        <w:t>Open topic on reinvigorating and shielding European democracy</w:t>
      </w:r>
    </w:p>
    <w:p w14:paraId="48239927" w14:textId="77777777" w:rsidR="007C2846" w:rsidRDefault="007C2846">
      <w:pPr>
        <w:rPr>
          <w:b/>
          <w:bCs/>
        </w:rPr>
      </w:pPr>
    </w:p>
    <w:p w14:paraId="1F48D019" w14:textId="2ABEB54C" w:rsidR="007C2846" w:rsidRDefault="007C2846">
      <w:pPr>
        <w:rPr>
          <w:b/>
          <w:bCs/>
        </w:rPr>
      </w:pPr>
      <w:hyperlink r:id="rId7" w:history="1">
        <w:r w:rsidRPr="00672E75">
          <w:rPr>
            <w:rStyle w:val="Hyperlink"/>
            <w:b/>
            <w:bCs/>
          </w:rPr>
          <w:t>https://www.horizon-europe.gouv.fr/open-topic-reinvigorating-and-shielding-european-democracy-42858</w:t>
        </w:r>
      </w:hyperlink>
    </w:p>
    <w:p w14:paraId="047394BB" w14:textId="77777777" w:rsidR="007C2846" w:rsidRDefault="007C2846">
      <w:pPr>
        <w:rPr>
          <w:b/>
          <w:bCs/>
        </w:rPr>
      </w:pPr>
    </w:p>
    <w:p w14:paraId="0D818778" w14:textId="4247C431" w:rsidR="004712FB" w:rsidRDefault="00FB3029">
      <w:pPr>
        <w:rPr>
          <w:b/>
          <w:bCs/>
        </w:rPr>
      </w:pPr>
      <w:r>
        <w:rPr>
          <w:b/>
          <w:bCs/>
        </w:rPr>
        <w:t>Quotes from the call text</w:t>
      </w:r>
      <w:r w:rsidR="00116627">
        <w:rPr>
          <w:b/>
          <w:bCs/>
        </w:rPr>
        <w:t xml:space="preserve"> [which we tried to incorporate more]</w:t>
      </w:r>
      <w:r>
        <w:rPr>
          <w:b/>
          <w:bCs/>
        </w:rPr>
        <w:t>:</w:t>
      </w:r>
    </w:p>
    <w:p w14:paraId="25FBC0D3" w14:textId="35238014" w:rsidR="00DB11A8" w:rsidRDefault="00DB11A8" w:rsidP="00DB11A8">
      <w:pPr>
        <w:pStyle w:val="ListParagraph"/>
        <w:numPr>
          <w:ilvl w:val="0"/>
          <w:numId w:val="3"/>
        </w:numPr>
      </w:pPr>
      <w:r w:rsidRPr="00DB11A8">
        <w:t xml:space="preserve">its misuse can </w:t>
      </w:r>
      <w:r w:rsidRPr="0061013F">
        <w:rPr>
          <w:b/>
          <w:bCs/>
        </w:rPr>
        <w:t>facilitate/amplify inequalities and power imbalances</w:t>
      </w:r>
      <w:r w:rsidRPr="00DB11A8">
        <w:t xml:space="preserve">, </w:t>
      </w:r>
      <w:r w:rsidRPr="007D4A34">
        <w:rPr>
          <w:b/>
          <w:bCs/>
          <w:color w:val="0F9ED5" w:themeColor="accent4"/>
        </w:rPr>
        <w:t>spread misinformation</w:t>
      </w:r>
      <w:r w:rsidRPr="00DB11A8">
        <w:t xml:space="preserve"> and cyberviolence against women, children and minorities, concentrate data control, and undermine democratic processes.</w:t>
      </w:r>
    </w:p>
    <w:p w14:paraId="237A5EF9" w14:textId="43E15EC8" w:rsidR="00DB11A8" w:rsidRPr="0061013F" w:rsidRDefault="00664C77" w:rsidP="00DB11A8">
      <w:pPr>
        <w:pStyle w:val="ListParagraph"/>
        <w:numPr>
          <w:ilvl w:val="0"/>
          <w:numId w:val="3"/>
        </w:numPr>
        <w:rPr>
          <w:b/>
          <w:bCs/>
        </w:rPr>
      </w:pPr>
      <w:r w:rsidRPr="00664C77">
        <w:t xml:space="preserve">this topic addresses both the malicious use of AI (e.g. AI-generated disinformation, deepfakes, cyberviolence) and </w:t>
      </w:r>
      <w:r w:rsidRPr="0061013F">
        <w:rPr>
          <w:b/>
          <w:bCs/>
        </w:rPr>
        <w:t>its unintentional societal consequences (e.g. algorithmic opacity, amplification of bias).</w:t>
      </w:r>
    </w:p>
    <w:p w14:paraId="269D2184" w14:textId="6CADF78A" w:rsidR="00664C77" w:rsidRDefault="00134515" w:rsidP="00DB11A8">
      <w:pPr>
        <w:pStyle w:val="ListParagraph"/>
        <w:numPr>
          <w:ilvl w:val="0"/>
          <w:numId w:val="3"/>
        </w:numPr>
      </w:pPr>
      <w:r w:rsidRPr="00116627">
        <w:rPr>
          <w:b/>
          <w:bCs/>
          <w:color w:val="0F9ED5" w:themeColor="accent4"/>
        </w:rPr>
        <w:t>demands to combine data-driven analysis, drawing on expertise from a wide range of fields</w:t>
      </w:r>
      <w:r w:rsidRPr="00134515">
        <w:t xml:space="preserve">, including both academic disciplines (e.g., computer science, and SSH disciplines such as communication and media sciences, ethics, law, political science, sociology, psychology, and gender studies) </w:t>
      </w:r>
      <w:r w:rsidRPr="007D4A34">
        <w:rPr>
          <w:b/>
          <w:bCs/>
          <w:color w:val="0F9ED5" w:themeColor="accent4"/>
        </w:rPr>
        <w:t>and the applied perspectives of those involved in shaping and steering AI technologies in practice</w:t>
      </w:r>
      <w:r w:rsidRPr="00134515">
        <w:t>.</w:t>
      </w:r>
    </w:p>
    <w:p w14:paraId="31AD3BF8" w14:textId="039AB746" w:rsidR="00134515" w:rsidRPr="0037274D" w:rsidRDefault="0037274D" w:rsidP="00DB11A8">
      <w:pPr>
        <w:pStyle w:val="ListParagraph"/>
        <w:numPr>
          <w:ilvl w:val="0"/>
          <w:numId w:val="3"/>
        </w:numPr>
        <w:rPr>
          <w:b/>
          <w:bCs/>
          <w:i/>
          <w:iCs/>
          <w:u w:val="single"/>
        </w:rPr>
      </w:pPr>
      <w:r w:rsidRPr="0037274D">
        <w:rPr>
          <w:b/>
          <w:bCs/>
          <w:i/>
          <w:iCs/>
          <w:u w:val="single"/>
        </w:rPr>
        <w:t xml:space="preserve">Proposals </w:t>
      </w:r>
      <w:r w:rsidRPr="007D4A34">
        <w:rPr>
          <w:b/>
          <w:bCs/>
          <w:i/>
          <w:iCs/>
          <w:color w:val="0F9ED5" w:themeColor="accent4"/>
          <w:u w:val="single"/>
        </w:rPr>
        <w:t>should identify best practices and regulatory measures to ensure the ethical deployment of AI and AI literacy while safeguarding equality and democratic integrity</w:t>
      </w:r>
      <w:r w:rsidRPr="0037274D">
        <w:rPr>
          <w:b/>
          <w:bCs/>
          <w:i/>
          <w:iCs/>
          <w:u w:val="single"/>
        </w:rPr>
        <w:t>. A key aspect of this research is recognising AI’s growing role in shaping policy and judicial decisions. While its integration can improve efficiencies, concerns about bias and fairness persist. Proposals are encouraged to explore AI’s influence on legal and policy outcomes, including unintended consequences.</w:t>
      </w:r>
    </w:p>
    <w:p w14:paraId="7AF9CEC3" w14:textId="74708A2D" w:rsidR="004712FB" w:rsidRDefault="00D12B93" w:rsidP="00D12B93">
      <w:pPr>
        <w:pStyle w:val="Heading1"/>
      </w:pPr>
      <w:r>
        <w:t xml:space="preserve">Text </w:t>
      </w:r>
      <w:r w:rsidR="004B705E">
        <w:t>for</w:t>
      </w:r>
      <w:r>
        <w:t xml:space="preserve"> concept note:</w:t>
      </w:r>
    </w:p>
    <w:p w14:paraId="357E5DF3" w14:textId="77777777" w:rsidR="00D12B93" w:rsidRDefault="00D12B93" w:rsidP="00D12B93">
      <w:pPr>
        <w:rPr>
          <w:b/>
          <w:bCs/>
        </w:rPr>
      </w:pPr>
      <w:r w:rsidRPr="00D12B93">
        <w:rPr>
          <w:b/>
          <w:bCs/>
        </w:rPr>
        <w:t>1.3 Informational accountability — institutions</w:t>
      </w:r>
    </w:p>
    <w:p w14:paraId="2B64E57F" w14:textId="34D313BF" w:rsidR="001E4091" w:rsidRDefault="002A79B7" w:rsidP="00D12B93">
      <w:pPr>
        <w:rPr>
          <w:color w:val="0432FF"/>
        </w:rPr>
      </w:pPr>
      <w:r w:rsidRPr="008F6F6C">
        <w:rPr>
          <w:color w:val="0432FF"/>
        </w:rPr>
        <w:t xml:space="preserve">AI systems can have unintentional negative societal consequences </w:t>
      </w:r>
      <w:r w:rsidR="00783CE6" w:rsidRPr="008F6F6C">
        <w:rPr>
          <w:color w:val="0432FF"/>
        </w:rPr>
        <w:t xml:space="preserve">in the form of amplifying inequalities and power imbalances through </w:t>
      </w:r>
      <w:r w:rsidR="007D4A34">
        <w:rPr>
          <w:color w:val="0432FF"/>
        </w:rPr>
        <w:t>their</w:t>
      </w:r>
      <w:r w:rsidR="007D4A34" w:rsidRPr="008F6F6C">
        <w:rPr>
          <w:color w:val="0432FF"/>
        </w:rPr>
        <w:t xml:space="preserve"> </w:t>
      </w:r>
      <w:r w:rsidR="00783CE6" w:rsidRPr="008F6F6C">
        <w:rPr>
          <w:color w:val="0432FF"/>
        </w:rPr>
        <w:t>increasing uptake in government. With the</w:t>
      </w:r>
      <w:r w:rsidR="00BA4E3C" w:rsidRPr="008F6F6C">
        <w:rPr>
          <w:color w:val="0432FF"/>
        </w:rPr>
        <w:t>ir</w:t>
      </w:r>
      <w:r w:rsidR="00783CE6" w:rsidRPr="008F6F6C">
        <w:rPr>
          <w:color w:val="0432FF"/>
        </w:rPr>
        <w:t xml:space="preserve"> ability </w:t>
      </w:r>
      <w:r w:rsidR="00BA4E3C" w:rsidRPr="008F6F6C">
        <w:rPr>
          <w:color w:val="0432FF"/>
        </w:rPr>
        <w:t xml:space="preserve">to </w:t>
      </w:r>
      <w:r w:rsidR="00783CE6" w:rsidRPr="008F6F6C">
        <w:rPr>
          <w:color w:val="0432FF"/>
        </w:rPr>
        <w:t>process vast amounts of information</w:t>
      </w:r>
      <w:r w:rsidR="00BA4E3C" w:rsidRPr="008F6F6C">
        <w:rPr>
          <w:color w:val="0432FF"/>
        </w:rPr>
        <w:t xml:space="preserve">, AI systems have the potential to enhance evidence-based decision making that increasingly informs policy and even judicial decisions </w:t>
      </w:r>
      <w:r w:rsidR="00BA4E3C" w:rsidRPr="008F6F6C">
        <w:rPr>
          <w:color w:val="0432FF"/>
        </w:rPr>
        <w:fldChar w:fldCharType="begin"/>
      </w:r>
      <w:r w:rsidR="00BA4E3C" w:rsidRPr="008F6F6C">
        <w:rPr>
          <w:color w:val="0432FF"/>
        </w:rPr>
        <w:instrText xml:space="preserve"> ADDIN ZOTERO_ITEM CSL_CITATION {"citationID":"ggpBDGqr","properties":{"unsorted":false,"formattedCitation":"(Koenig &amp; Wenzelburger, 2025; K\\uc0\\u246{}nig &amp; Wenzelburger, 2022; Newman &amp; Mintrom, 2023)","plainCitation":"(Koenig &amp; Wenzelburger, 2025; König &amp; Wenzelburger, 2022; Newman &amp; Mintrom, 2023)","noteIndex":0},"citationItems":[{"id":10443,"uris":["http://zotero.org/users/4098260/items/IKT8VHKT"],"itemData":{"id":10443,"type":"chapter","container-title":"Handbook of Policy Advice","DOI":"10.4337/9781035318087.00065","ISBN":"978-1-0353-1808-7","page":"622-637","publisher":"Edward Elgar Publishing","source":"DOI.org (Crossref)","title":"The potentials and limitations of using artificial intelligence for policymaking","URL":"https://www.elgaronline.com/view/book/9781035318087/chapter46.xml","editor":[{"family":"Howlett","given":"Michael"},{"family":"Mukherjee","given":"Ishani"}],"author":[{"family":"Koenig","given":"Pascal D."},{"family":"Wenzelburger","given":"Georg"}],"accessed":{"date-parts":[["2026",10,15]]},"issued":{"date-parts":[["2025",9,16]]}}},{"id":6349,"uris":["http://zotero.org/users/4098260/items/IED6Q6XT"],"itemData":{"id":6349,"type":"article-journal","abstract":"Abstract\n            The promise of algorithmic decision-making (ADM) lies in its capacity to support or replace human decision-making based on a superior ability to solve specific cognitive tasks. Applications have found their way into various domains of decision-making—and even find appeal in the realm of politics. Against the backdrop of widespread dissatisfaction with politicians in established democracies, there are even calls for replacing politicians with machines. Our discipline has hitherto remained surprisingly silent on these issues. The present article argues that it is important to have a clear grasp of when and how ADM is compatible with political decision-making. While algorithms may help decision-makers in the evidence-based selection of policy instruments to achieve pre-defined goals, bringing ADM to t</w:instrText>
      </w:r>
      <w:r w:rsidR="00BA4E3C" w:rsidRPr="00FB3029">
        <w:rPr>
          <w:color w:val="0432FF"/>
        </w:rPr>
        <w:instrText xml:space="preserve">he heart of politics, where the guiding goals are set, is dangerous. Democratic politics, we argue, involves a kind of learning that is incompatible with the learning and optimization performed by algorithmic systems.","container-title":"European Political Science","DOI":"10.1057/s41304-020-00298-3","ISSN":"1680-4333, 1682-0983","issue":"1","journalAbbreviation":"Eur Polit Sci","language":"en","page":"132-149","source":"DOI.org (Crossref)","title":"Between technochauvinism and human-centrism: Can algorithms improve decision-making in democratic politics?","title-short":"Between technochauvinism and human-centrism","volume":"21","author":[{"family":"König","given":"Pascal D."},{"family":"Wenzelburger","given":"Georg"}],"issued":{"date-parts":[["2022"]]}}},{"id":8185,"uris":["http://zotero.org/users/4098260/items/RFAEV2W3"],"itemData":{"id":8185,"type":"article-journal","container-title":"Journal of European Public Policy","DOI":"10.1080/13501763.2023.2193223","ISSN":"1350-1763, 1466-4429","issue":"9","journalAbbreviation":"Journal of European Public Policy","language":"en","page":"1839-1859","source":"DOI.org (Crossref)","title":"Mapping the discourse on evidence-based policy, artificial intelligence, and the ethical practice of policy analysis","volume":"30","author":[{"family":"Newman","given":"Joshua"},{"family":"Mintrom","given":"Michael"}],"issued":{"date-parts":[["2023",9,2]]}}}],"schema":"https://github.com/citation-style-language/schema/raw/master/csl-citation.json"} </w:instrText>
      </w:r>
      <w:r w:rsidR="00BA4E3C" w:rsidRPr="008F6F6C">
        <w:rPr>
          <w:color w:val="0432FF"/>
        </w:rPr>
        <w:fldChar w:fldCharType="separate"/>
      </w:r>
      <w:r w:rsidR="00BA4E3C" w:rsidRPr="00FB3029">
        <w:rPr>
          <w:rFonts w:ascii="Aptos" w:cs="Times New Roman"/>
          <w:color w:val="0432FF"/>
          <w:kern w:val="0"/>
        </w:rPr>
        <w:t>(Koenig &amp; Wenzelburger, 2025; König &amp; Wenzelburger, 2022; Newman &amp; Mintrom, 2023)</w:t>
      </w:r>
      <w:r w:rsidR="00BA4E3C" w:rsidRPr="008F6F6C">
        <w:rPr>
          <w:color w:val="0432FF"/>
        </w:rPr>
        <w:fldChar w:fldCharType="end"/>
      </w:r>
      <w:r w:rsidR="00BA4E3C" w:rsidRPr="00FB3029">
        <w:rPr>
          <w:color w:val="0432FF"/>
        </w:rPr>
        <w:t xml:space="preserve">. </w:t>
      </w:r>
      <w:r w:rsidR="00BA4E3C" w:rsidRPr="008F6F6C">
        <w:rPr>
          <w:color w:val="0432FF"/>
        </w:rPr>
        <w:t xml:space="preserve">However, </w:t>
      </w:r>
      <w:r w:rsidR="00F73810" w:rsidRPr="008F6F6C">
        <w:rPr>
          <w:color w:val="0432FF"/>
        </w:rPr>
        <w:t xml:space="preserve">long-standing problems of possible harmful </w:t>
      </w:r>
      <w:r w:rsidR="007D4A34">
        <w:rPr>
          <w:color w:val="0432FF"/>
        </w:rPr>
        <w:t>biases</w:t>
      </w:r>
      <w:r w:rsidR="007D4A34" w:rsidRPr="00304E1F">
        <w:rPr>
          <w:color w:val="0F9ED5" w:themeColor="accent4"/>
        </w:rPr>
        <w:t xml:space="preserve">, </w:t>
      </w:r>
      <w:r w:rsidR="007D4A34" w:rsidRPr="00304E1F">
        <w:rPr>
          <w:color w:val="0432FF"/>
        </w:rPr>
        <w:t xml:space="preserve">the </w:t>
      </w:r>
      <w:r w:rsidR="00F73810" w:rsidRPr="00304E1F">
        <w:rPr>
          <w:color w:val="0432FF"/>
        </w:rPr>
        <w:t>opacity of AI systems</w:t>
      </w:r>
      <w:r w:rsidR="007D4A34" w:rsidRPr="00304E1F">
        <w:rPr>
          <w:color w:val="0432FF"/>
        </w:rPr>
        <w:t>, and algorithmic citizen discrimination</w:t>
      </w:r>
      <w:r w:rsidR="00F73810" w:rsidRPr="00304E1F">
        <w:rPr>
          <w:color w:val="0432FF"/>
        </w:rPr>
        <w:t xml:space="preserve"> have not </w:t>
      </w:r>
      <w:r w:rsidR="00F73810" w:rsidRPr="00304E1F">
        <w:rPr>
          <w:color w:val="0432FF"/>
        </w:rPr>
        <w:lastRenderedPageBreak/>
        <w:t>yet been resolved</w:t>
      </w:r>
      <w:r w:rsidR="007D4A34" w:rsidRPr="00304E1F">
        <w:rPr>
          <w:color w:val="0432FF"/>
        </w:rPr>
        <w:t xml:space="preserve"> </w:t>
      </w:r>
      <w:r w:rsidR="0039707B" w:rsidRPr="00304E1F">
        <w:rPr>
          <w:color w:val="0432FF"/>
        </w:rPr>
        <w:fldChar w:fldCharType="begin"/>
      </w:r>
      <w:r w:rsidR="0039707B" w:rsidRPr="00304E1F">
        <w:rPr>
          <w:color w:val="0432FF"/>
        </w:rPr>
        <w:instrText xml:space="preserve"> ADDIN ZOTERO_ITEM CSL_CITATION {"citationID":"7BpNq5YX","properties":{"unsorted":false,"formattedCitation":"(Alon-Barkat et al., 2025)","plainCitation":"(Alon-Barkat et al., 2025)","noteIndex":0},"citationItems":[{"id":10194,"uris":["http://zotero.org/users/4098260/items/PKGFA2ZX"],"itemData":{"id":10194,"type":"article-journal","abstract":"Abstract\n            As public bodies increasingly adopt AI technologies in their work, there is simultaneously growing attention to the risk that the reliance on the technology may introduce biases and produce discriminatory administrative outcomes, as demonstrated by multiple real-world cases. Our contribution addresses a core theoretical puzzle: with AI algorithms being increasingly embedded across public services, we lack crucial knowledge about how citizens assign responsibility to public organizations for algorithmic failures and discrimination in public services compared to human discrimination. This speaks to key questions as to whether organizational responsibility attribution mechanisms and public demand for consequences fundamentally change in the context of algorithmic governance. Addressing this gap, we examine whether individual citizens are less likely to attribute responsibility for algorithmic versus human discrimination in public service provision. Building on psychology literature, we further theorize potential mechanisms that underlie these effects and shape citizens’ responses. We investigate these research questions through a pre-registered survey experiment conducted in the Netherlands (N</w:instrText>
      </w:r>
      <w:r w:rsidR="0039707B" w:rsidRPr="00304E1F">
        <w:rPr>
          <w:rFonts w:ascii="Arial" w:hAnsi="Arial" w:cs="Arial"/>
          <w:color w:val="0432FF"/>
        </w:rPr>
        <w:instrText> </w:instrText>
      </w:r>
      <w:r w:rsidR="0039707B" w:rsidRPr="00304E1F">
        <w:rPr>
          <w:color w:val="0432FF"/>
        </w:rPr>
        <w:instrText>=</w:instrText>
      </w:r>
      <w:r w:rsidR="0039707B" w:rsidRPr="00304E1F">
        <w:rPr>
          <w:rFonts w:ascii="Arial" w:hAnsi="Arial" w:cs="Arial"/>
          <w:color w:val="0432FF"/>
        </w:rPr>
        <w:instrText> </w:instrText>
      </w:r>
      <w:r w:rsidR="0039707B" w:rsidRPr="00304E1F">
        <w:rPr>
          <w:color w:val="0432FF"/>
        </w:rPr>
        <w:instrText xml:space="preserve">2,483). Our findings indicate that public organizations are not held to a lower responsibility standard for algorithmic compared to human discrimination. Technological delegation to AI does not allow public bodies to bypass responsibility for discriminatory outcomes. However, we find that citizens assign more responsibility for algorithmic discrimination when the algorithm is developed in-house rather than externally. This could lead to the emergence of accountability deficits pertaining to technological outsourcing.","container-title":"Journal of Public Administration Research and Theory","DOI":"10.1093/jopart/muaf024","ISSN":"1053-1858, 1477-9803","issue":"4","language":"en","license":"https://creativecommons.org/licenses/by-nc/4.0/","page":"469-488","source":"DOI.org (Crossref)","title":"Algorithmic discrimination in public service provision: Understanding citizens’ attribution of responsibility for human versus algorithmic discriminatory outcomes","title-short":"Algorithmic discrimination in public service provision","volume":"35","author":[{"family":"Alon-Barkat","given":"Saar"},{"family":"Busuioc","given":"Madalina"},{"family":"Schwoerer","given":"Kayla"},{"family":"Weißmüller","given":"Kristina S"}],"issued":{"date-parts":[["2025",10,8]]}}}],"schema":"https://github.com/citation-style-language/schema/raw/master/csl-citation.json"} </w:instrText>
      </w:r>
      <w:r w:rsidR="0039707B" w:rsidRPr="00304E1F">
        <w:rPr>
          <w:color w:val="0432FF"/>
        </w:rPr>
        <w:fldChar w:fldCharType="separate"/>
      </w:r>
      <w:r w:rsidR="0039707B" w:rsidRPr="00304E1F">
        <w:rPr>
          <w:noProof/>
          <w:color w:val="0432FF"/>
        </w:rPr>
        <w:t>(Alon-Barkat et al., 2025)</w:t>
      </w:r>
      <w:r w:rsidR="0039707B" w:rsidRPr="00304E1F">
        <w:rPr>
          <w:color w:val="0432FF"/>
        </w:rPr>
        <w:fldChar w:fldCharType="end"/>
      </w:r>
      <w:r w:rsidR="009937CF" w:rsidRPr="00304E1F">
        <w:rPr>
          <w:color w:val="0432FF"/>
        </w:rPr>
        <w:t xml:space="preserve">. </w:t>
      </w:r>
      <w:r w:rsidR="00247F50" w:rsidRPr="00304E1F">
        <w:rPr>
          <w:color w:val="0432FF"/>
        </w:rPr>
        <w:t>Not only can algorithms be used to amplify disc</w:t>
      </w:r>
      <w:r w:rsidR="0039707B" w:rsidRPr="00304E1F">
        <w:rPr>
          <w:color w:val="0432FF"/>
        </w:rPr>
        <w:t>r</w:t>
      </w:r>
      <w:r w:rsidR="00247F50" w:rsidRPr="00304E1F">
        <w:rPr>
          <w:color w:val="0432FF"/>
        </w:rPr>
        <w:t>imination and spread misinformation particularly via social media</w:t>
      </w:r>
      <w:r w:rsidR="00C52638" w:rsidRPr="00304E1F">
        <w:rPr>
          <w:color w:val="0432FF"/>
        </w:rPr>
        <w:t xml:space="preserve"> – as used by criminal groups to avoid punishment and undermine judical processes</w:t>
      </w:r>
      <w:r w:rsidR="007C14DE" w:rsidRPr="00304E1F">
        <w:rPr>
          <w:color w:val="0432FF"/>
        </w:rPr>
        <w:t xml:space="preserve"> </w:t>
      </w:r>
      <w:r w:rsidR="007C14DE" w:rsidRPr="00304E1F">
        <w:rPr>
          <w:color w:val="0432FF"/>
        </w:rPr>
        <w:fldChar w:fldCharType="begin"/>
      </w:r>
      <w:r w:rsidR="004726F2" w:rsidRPr="00304E1F">
        <w:rPr>
          <w:color w:val="0432FF"/>
        </w:rPr>
        <w:instrText xml:space="preserve"> ADDIN ZOTERO_ITEM CSL_CITATION {"citationID":"6rWDv6Nj","properties":{"unsorted":false,"formattedCitation":"(Wei\\uc0\\u223{}m\\uc0\\u252{}ller, Van Den Broek, et al., 2026)","plainCitation":"(Weißmüller, Van Den Broek, et al., 2026)","noteIndex":0},"citationItems":[{"id":10480,"uris":["http://zotero.org/users/4098260/items/4GV5T8TI"],"itemData":{"id":10480,"type":"article-journal","container-title":"European Management Journal","DOI":"10.1016/j.emj.2026.10.006","ISSN":"02632373","journalAbbreviation":"European Management Journal","language":"en","source":"DOI.org (Crossref)","title":"How Organizations Involved in Criminal Activity Sway Public Opinion: An Empirically Grounded Integrative Framework of Discursive Legitimation","title-short":"How Organizations Involved in Criminal Activity Sway Public Opinion","URL":"https://linkinghub.elsevier.com/retrieve/pii/S0263237326001325","volume":"online first","author":[{"family":"Weißmüller","given":"Kristina S."},{"family":"Van Den Broek","given":"Tijs A."},{"family":"Krawinkel","given":"Jana S."},{"family":"Watson","given":"Steven J."}],"accessed":{"date-parts":[["2026",10,29]]},"issued":{"date-parts":[["2026",10]]}}}],"schema":"https://github.com/citation-style-language/schema/raw/master/csl-citation.json"} </w:instrText>
      </w:r>
      <w:r w:rsidR="007C14DE" w:rsidRPr="00304E1F">
        <w:rPr>
          <w:color w:val="0432FF"/>
        </w:rPr>
        <w:fldChar w:fldCharType="separate"/>
      </w:r>
      <w:r w:rsidR="004726F2" w:rsidRPr="00304E1F">
        <w:rPr>
          <w:rFonts w:ascii="Aptos" w:cs="Times New Roman"/>
          <w:color w:val="0432FF"/>
          <w:kern w:val="0"/>
        </w:rPr>
        <w:t>(Weißmüller, Van Den Broek, et al., 2026)</w:t>
      </w:r>
      <w:r w:rsidR="007C14DE" w:rsidRPr="00304E1F">
        <w:rPr>
          <w:color w:val="0432FF"/>
        </w:rPr>
        <w:fldChar w:fldCharType="end"/>
      </w:r>
      <w:r w:rsidR="00247F50" w:rsidRPr="00304E1F">
        <w:rPr>
          <w:color w:val="0432FF"/>
        </w:rPr>
        <w:t xml:space="preserve"> </w:t>
      </w:r>
      <w:r w:rsidR="00C52638" w:rsidRPr="00304E1F">
        <w:rPr>
          <w:color w:val="0432FF"/>
        </w:rPr>
        <w:t xml:space="preserve">– but </w:t>
      </w:r>
      <w:r w:rsidR="00247F50" w:rsidRPr="00304E1F">
        <w:rPr>
          <w:color w:val="0432FF"/>
        </w:rPr>
        <w:t>a</w:t>
      </w:r>
      <w:r w:rsidR="007D4A34" w:rsidRPr="00304E1F">
        <w:rPr>
          <w:color w:val="0432FF"/>
        </w:rPr>
        <w:t xml:space="preserve">lgorithms </w:t>
      </w:r>
      <w:r w:rsidR="00247F50" w:rsidRPr="00304E1F">
        <w:rPr>
          <w:color w:val="0432FF"/>
        </w:rPr>
        <w:t xml:space="preserve">also </w:t>
      </w:r>
      <w:r w:rsidR="007D4A34" w:rsidRPr="00304E1F">
        <w:rPr>
          <w:color w:val="0432FF"/>
        </w:rPr>
        <w:t xml:space="preserve">fundamentally change citizen-state </w:t>
      </w:r>
      <w:r w:rsidR="00C52638" w:rsidRPr="00304E1F">
        <w:rPr>
          <w:color w:val="0432FF"/>
        </w:rPr>
        <w:t xml:space="preserve">interactions, </w:t>
      </w:r>
      <w:r w:rsidR="007D4A34" w:rsidRPr="00304E1F">
        <w:rPr>
          <w:color w:val="0432FF"/>
        </w:rPr>
        <w:t xml:space="preserve">and limit </w:t>
      </w:r>
      <w:r w:rsidR="00C52638" w:rsidRPr="00304E1F">
        <w:rPr>
          <w:color w:val="0432FF"/>
        </w:rPr>
        <w:t>people’s</w:t>
      </w:r>
      <w:r w:rsidR="007D4A34" w:rsidRPr="00304E1F">
        <w:rPr>
          <w:color w:val="0432FF"/>
        </w:rPr>
        <w:t xml:space="preserve"> capacity to </w:t>
      </w:r>
      <w:r w:rsidR="000B2BB1" w:rsidRPr="00304E1F">
        <w:rPr>
          <w:color w:val="0432FF"/>
        </w:rPr>
        <w:t>exercise</w:t>
      </w:r>
      <w:r w:rsidR="007D4A34" w:rsidRPr="00304E1F">
        <w:rPr>
          <w:color w:val="0432FF"/>
        </w:rPr>
        <w:t xml:space="preserve"> control, attribute responsibility, and hold institutions and agents to account</w:t>
      </w:r>
      <w:r w:rsidR="007C14DE" w:rsidRPr="00304E1F">
        <w:rPr>
          <w:color w:val="0432FF"/>
        </w:rPr>
        <w:t xml:space="preserve"> </w:t>
      </w:r>
      <w:r w:rsidR="007C14DE" w:rsidRPr="00304E1F">
        <w:rPr>
          <w:color w:val="0432FF"/>
        </w:rPr>
        <w:fldChar w:fldCharType="begin"/>
      </w:r>
      <w:r w:rsidR="004738AC" w:rsidRPr="00304E1F">
        <w:rPr>
          <w:color w:val="0432FF"/>
        </w:rPr>
        <w:instrText xml:space="preserve"> ADDIN ZOTERO_ITEM CSL_CITATION {"citationID":"XWYIBqA8","properties":{"unsorted":false,"formattedCitation":"(Wei\\uc0\\u223{}m\\uc0\\u252{}ller &amp; Koenig, 2026)","plainCitation":"(Weißmüller &amp; Koenig, 2026)","noteIndex":0},"citationItems":[{"id":10164,"uris":["http://zotero.org/users/4098260/items/I76YBBHM"],"itemData":{"id":10164,"type":"article","abstract":"Drawing on the latest interdisciplinary insights on human-technology interaction, this chapter explains key perspectives and frameworks of how people adopt, interact with, and experience technology. After introducing core ethical aspects of technology, the chapter takes a critical stance on the promises and pitfalls of disruptive technological advancement—including but not limited to AI. Combining organizational, socio-psychological, and ethical perspectives on human-technology interaction, fundamental challenges of human control over digital technologies—which are not only tools but also agents and infrastructures—are explained. The chapter explains important blind spots within the most commonly used models of human-technology interaction and discusses unresolved issues of user-technology value alignment, accountability, and control.","DOI":"10.31235/osf.io/hd7as_v1","license":"https://creativecommons.org/licenses/by-nc/4.0/legalcode","publisher":"SocArXiv","source":"DOI.org (Crossref)","title":"Understanding Human-Technology Interaction: Models, Ethics, and the Future of Control","title-short":"Understanding Human-Technology Interaction","URL":"https://osf.io/hd7as_v1","author":[{"family":"Weißmüller","given":"Kristina Sabrina"},{"family":"Koenig","given":"Pascal"}],"accessed":{"date-parts":[["2026",5,26]]},"issued":{"date-parts":[["2026",4,13]]}}}],"schema":"https://github.com/citation-style-language/schema/raw/master/csl-citation.json"} </w:instrText>
      </w:r>
      <w:r w:rsidR="007C14DE" w:rsidRPr="00304E1F">
        <w:rPr>
          <w:color w:val="0432FF"/>
        </w:rPr>
        <w:fldChar w:fldCharType="separate"/>
      </w:r>
      <w:r w:rsidR="004738AC" w:rsidRPr="00304E1F">
        <w:rPr>
          <w:rFonts w:ascii="Aptos" w:cs="Times New Roman"/>
          <w:color w:val="0432FF"/>
          <w:kern w:val="0"/>
        </w:rPr>
        <w:t>(Weißmüller &amp; Koenig, 2026)</w:t>
      </w:r>
      <w:r w:rsidR="007C14DE" w:rsidRPr="00304E1F">
        <w:rPr>
          <w:color w:val="0432FF"/>
        </w:rPr>
        <w:fldChar w:fldCharType="end"/>
      </w:r>
      <w:r w:rsidR="004738AC" w:rsidRPr="00304E1F">
        <w:rPr>
          <w:color w:val="0432FF"/>
        </w:rPr>
        <w:t xml:space="preserve">. </w:t>
      </w:r>
      <w:r w:rsidR="00D43127" w:rsidRPr="00304E1F">
        <w:rPr>
          <w:color w:val="0432FF"/>
        </w:rPr>
        <w:t xml:space="preserve">By applying an AI model to a large number of cases, </w:t>
      </w:r>
      <w:r w:rsidR="007D4A34" w:rsidRPr="00304E1F">
        <w:rPr>
          <w:color w:val="0432FF"/>
        </w:rPr>
        <w:t xml:space="preserve">discriminatory practices are amplified and scaled beyond already problematic levels of inter-sectional citizen discrimination that undermines democratic and public values </w:t>
      </w:r>
      <w:r w:rsidR="00D43127" w:rsidRPr="00080E04">
        <w:rPr>
          <w:color w:val="0432FF"/>
        </w:rPr>
        <w:fldChar w:fldCharType="begin"/>
      </w:r>
      <w:r w:rsidR="004726F2" w:rsidRPr="00080E04">
        <w:rPr>
          <w:color w:val="0432FF"/>
        </w:rPr>
        <w:instrText xml:space="preserve"> ADDIN ZOTERO_ITEM CSL_CITATION {"citationID":"larZxFOQ","properties":{"unsorted":false,"formattedCitation":"(Wei\\uc0\\u223{}m\\uc0\\u252{}ller, Hoppen, et al., 2026; Yeung et al., 2020)","plainCitation":"(Weißmüller, Hoppen, et al., 2026; Yeung et al., 2020)","noteIndex":0},"citationItems":[{"id":10482,"uris":["http://zotero.org/users/4098260/items/BCPHPP3W"],"itemData":{"id":10482,"type":"article","abstract":"The use of AI in public service provision can reshape citizen-state interactions, introducing new risks and challenges to ensure safe, inclusive, and just applications that do not discriminate against vulnerable citizens. This study examines how public service organizations govern these risks. Drawing on a meta-synthesis of AI risk governance scholarship (n=56), we synthesize the empirical evidence from a value-based risk governance perspective. We identify four governance challenges: (1) establishing substantive pre-assessment before adoption; (2) enabling informed, plural, and revisable appraisal; (3) ensuring meaningful human oversight during implementation; and (4) preserving organizational ownership in ensuring that monitoring and feedback are connected to correction and learning. For each challenge, the synthesis identifies failure patterns and proposes solutions on how to avoid them. Integrating these findings, we develop a novel evidence-based AI risk governance framework for public organizations. Advancing the discourse on technology risk governance and administrative burden in the age of AI, this study provides an organizational explanation for AI risk governance success and failure, offering insights for theory and practice.","DOI":"10.31235/osf.io/gz9jf_v1","license":"https://creativecommons.org/licenses/by/4.0/legalcode","publisher":"SocArXiv","source":"DOI.org (Crossref)","title":"Responsible AI Risk Governance in Public Service Organizations—Insights from a Meta-Synthesis","URL":"https://osf.io/gz9jf_v1","author":[{"family":"Weißmüller","given":"Kristina Sabrina"},{"family":"Hoppen","given":"Menno J."},{"family":"De Graaf","given":"Gjalt"}],"accessed":{"date-parts":[["2026",10,29]]},"issued":{"date-parts":[["2026",9,2]]}}},{"id":7705,"uris":["http://zotero.org/users/4098260/items/TC4DRMER"],"itemData":{"id":7705,"type":"chapter","abstract":"This chapter argues that international human rights standards offer the most promising basis for developing a coherent and universally recognized set of standards that can be applied to meet any of the normative concerns currently falling under the rubric of AI (artificial intelligence) ethics. It then outlines the core elements of a human rights–centered design, deliberation, and oversight approach to the governance of AI. This approach requires that human rights norms are systemically considered at every stage of system design, development, and deployment, drawing upon and adapting technical methods and techniques for safe software and system design, verification, testing, and auditing in order to ensure compliance with human rights norms. The regime must be mandated by law and relies critically on external oversight by independent, competent, and properly resourced regulatory authorities with appropriate powers of investigation and enforcement. However, this approach will not ensure the protection of all ethical values adversely implicated by AI, given that human rights norms do not comprehensively cover all values of societal concern. As such, a great deal more work needs to be done to develop techniques and methodologies that are robust—reliable yet practically implementable across a wide and diverse range of organizations involved in developing, building, and operating AI systems.","container-title":"The Oxford Handbook of Ethics of AI","DOI":"10.1093/oxfordhb/9780190067397.013.5","ISBN":"978-0-19-006739-7","language":"en","page":"75-106","publisher":"Oxford University Press","source":"DOI.org (Crossref)","title":"AI Governance by Human Rights–Centered Design, Deliberation, and Oversight: An End to Ethics Washing","title-short":"AI Governance by Human Rights–Centered Design, Deliberation, and Oversight","URL":"https://academic.oup.com/edited-volume/34287/chapter/290657408","editor":[{"family":"Dubber","given":"Markus D."},{"family":"Pasquale","given":"Frank"},{"family":"Das","given":"Sunit"}],"container-author":[{"family":"Yeung","given":"Karen"},{"family":"Howes","given":"Andrew"},{"family":"Pogrebna","given":"Ganna"}],"author":[{"family":"Yeung","given":"Karen"},{"family":"Howes","given":"Andrew"},{"family":"Pogrebna","given":"Ganna"}],"accessed":{"date-parts":[["2024",5,17]]},"issued":{"date-parts":[["2020",7,9]]}}}],"schema":"https://github.com/citation-style-language/schema/raw/master/csl-citation.json"} </w:instrText>
      </w:r>
      <w:r w:rsidR="00D43127" w:rsidRPr="00080E04">
        <w:rPr>
          <w:color w:val="0432FF"/>
        </w:rPr>
        <w:fldChar w:fldCharType="separate"/>
      </w:r>
      <w:r w:rsidR="004726F2" w:rsidRPr="00080E04">
        <w:rPr>
          <w:rFonts w:ascii="Aptos" w:cs="Times New Roman"/>
          <w:color w:val="0432FF"/>
          <w:kern w:val="0"/>
        </w:rPr>
        <w:t>(Weißmüller, Hoppen, et al., 2026; Yeung et al., 2020)</w:t>
      </w:r>
      <w:r w:rsidR="00D43127" w:rsidRPr="00080E04">
        <w:rPr>
          <w:color w:val="0432FF"/>
        </w:rPr>
        <w:fldChar w:fldCharType="end"/>
      </w:r>
      <w:r w:rsidR="00D43127" w:rsidRPr="00080E04">
        <w:rPr>
          <w:color w:val="0432FF"/>
        </w:rPr>
        <w:t xml:space="preserve">. </w:t>
      </w:r>
      <w:r w:rsidR="004C2962" w:rsidRPr="00080E04">
        <w:rPr>
          <w:color w:val="0432FF"/>
        </w:rPr>
        <w:t xml:space="preserve">At the same time, algorithmic fairness </w:t>
      </w:r>
      <w:r w:rsidR="007A1519" w:rsidRPr="00080E04">
        <w:rPr>
          <w:color w:val="0432FF"/>
        </w:rPr>
        <w:t xml:space="preserve">and specifying what makes a fair AI model </w:t>
      </w:r>
      <w:r w:rsidR="004C2962" w:rsidRPr="00080E04">
        <w:rPr>
          <w:color w:val="0432FF"/>
        </w:rPr>
        <w:t>remains a thorny issue as there is no aprior</w:t>
      </w:r>
      <w:r w:rsidR="00C52E5C" w:rsidRPr="00080E04">
        <w:rPr>
          <w:color w:val="0432FF"/>
        </w:rPr>
        <w:t>i</w:t>
      </w:r>
      <w:r w:rsidR="004C2962" w:rsidRPr="00080E04">
        <w:rPr>
          <w:color w:val="0432FF"/>
        </w:rPr>
        <w:t xml:space="preserve"> correct solution for dealing with trade-offs between different fairness metrics</w:t>
      </w:r>
      <w:r w:rsidR="004C2962" w:rsidRPr="00304E1F">
        <w:rPr>
          <w:color w:val="0432FF"/>
        </w:rPr>
        <w:t xml:space="preserve"> </w:t>
      </w:r>
      <w:r w:rsidR="007A1519" w:rsidRPr="00304E1F">
        <w:rPr>
          <w:color w:val="0432FF"/>
        </w:rPr>
        <w:t>are all viable</w:t>
      </w:r>
      <w:r w:rsidR="002F43C6">
        <w:rPr>
          <w:color w:val="0432FF"/>
        </w:rPr>
        <w:t xml:space="preserve"> </w:t>
      </w:r>
      <w:r w:rsidR="002F43C6">
        <w:rPr>
          <w:color w:val="0432FF"/>
        </w:rPr>
        <w:fldChar w:fldCharType="begin"/>
      </w:r>
      <w:r w:rsidR="002F43C6">
        <w:rPr>
          <w:color w:val="0432FF"/>
        </w:rPr>
        <w:instrText xml:space="preserve"> ADDIN ZOTERO_ITEM CSL_CITATION {"citationID":"fjV46cEo","properties":{"unsorted":false,"formattedCitation":"(Berk et al., 2018)","plainCitation":"(Berk et al., 2018)","noteIndex":0},"citationItems":[{"id":4763,"uris":["http://zotero.org/users/4098260/items/MTFCGZU6"],"itemData":{"id":4763,"type":"article-journal","container-title":"Sociological Methods &amp; Research","DOI":"10.1177/0049124118782533","ISSN":"0049-1241, 1552-8294","issue":"1","journalAbbreviation":"Sociological Methods &amp; Research","language":"en","page":"1-42","source":"DOI.org (Crossref)","title":"Fairness in Criminal Justice Risk Assessments: The State of the Art","title-short":"Fairness in Criminal Justice Risk Assessments","volume":"50","author":[{"family":"Berk","given":"Richard"},{"family":"Heidari","given":"Hoda"},{"family":"Jabbari","given":"Shahin"},{"family":"Kearns","given":"Michael"},{"family":"Roth","given":"Aaron"}],"issued":{"date-parts":[["2018"]]}}}],"schema":"https://github.com/citation-style-language/schema/raw/master/csl-citation.json"} </w:instrText>
      </w:r>
      <w:r w:rsidR="002F43C6">
        <w:rPr>
          <w:color w:val="0432FF"/>
        </w:rPr>
        <w:fldChar w:fldCharType="separate"/>
      </w:r>
      <w:r w:rsidR="002F43C6">
        <w:rPr>
          <w:noProof/>
          <w:color w:val="0432FF"/>
        </w:rPr>
        <w:t>(Berk et al., 2018)</w:t>
      </w:r>
      <w:r w:rsidR="002F43C6">
        <w:rPr>
          <w:color w:val="0432FF"/>
        </w:rPr>
        <w:fldChar w:fldCharType="end"/>
      </w:r>
      <w:r w:rsidR="004C2962" w:rsidRPr="00304E1F">
        <w:rPr>
          <w:color w:val="0432FF"/>
        </w:rPr>
        <w:t xml:space="preserve">. </w:t>
      </w:r>
      <w:r w:rsidR="00007C8D" w:rsidRPr="00304E1F">
        <w:rPr>
          <w:color w:val="0432FF"/>
        </w:rPr>
        <w:t>Even</w:t>
      </w:r>
      <w:r w:rsidR="006700C6" w:rsidRPr="00304E1F">
        <w:rPr>
          <w:color w:val="0432FF"/>
        </w:rPr>
        <w:t xml:space="preserve"> real-world attempts to deal </w:t>
      </w:r>
      <w:r w:rsidR="006700C6" w:rsidRPr="00D17677">
        <w:rPr>
          <w:color w:val="0432FF"/>
        </w:rPr>
        <w:t>with this challenge that are</w:t>
      </w:r>
      <w:r w:rsidR="00007C8D" w:rsidRPr="00D17677">
        <w:rPr>
          <w:color w:val="0432FF"/>
        </w:rPr>
        <w:t xml:space="preserve"> exemplary</w:t>
      </w:r>
      <w:r w:rsidR="004430C2" w:rsidRPr="00D17677">
        <w:rPr>
          <w:color w:val="0432FF"/>
        </w:rPr>
        <w:t xml:space="preserve"> through an</w:t>
      </w:r>
      <w:r w:rsidR="00007C8D" w:rsidRPr="00D17677">
        <w:rPr>
          <w:color w:val="0432FF"/>
        </w:rPr>
        <w:t xml:space="preserve"> inclusive</w:t>
      </w:r>
      <w:r w:rsidR="00E8233F" w:rsidRPr="00D17677">
        <w:rPr>
          <w:color w:val="0432FF"/>
        </w:rPr>
        <w:t xml:space="preserve">, </w:t>
      </w:r>
      <w:r w:rsidR="00007C8D" w:rsidRPr="00D17677">
        <w:rPr>
          <w:color w:val="0432FF"/>
        </w:rPr>
        <w:t xml:space="preserve">deliberately citizen-centered and reflective attempt to build fair AI systems have failed in the past </w:t>
      </w:r>
      <w:r w:rsidR="009937CF" w:rsidRPr="00D17677">
        <w:rPr>
          <w:color w:val="0432FF"/>
        </w:rPr>
        <w:fldChar w:fldCharType="begin"/>
      </w:r>
      <w:r w:rsidR="009937CF" w:rsidRPr="00D17677">
        <w:rPr>
          <w:color w:val="0432FF"/>
        </w:rPr>
        <w:instrText xml:space="preserve"> ADDIN ZOTERO_ITEM CSL_CITATION {"citationID":"4ZR3dQUP","properties":{"unsorted":false,"formattedCitation":"(Guo et al., 2025)","plainCitation":"(Guo et al., 2025)","noteIndex":0},"citationItems":[{"id":10317,"uris":["http://zotero.org/users/4098260/items/VZ36TN3I"],"itemData":{"id":10317,"type":"article-newspaper","container-title":"MIT Technolgoy Review","publisher-place":"Cambridge","title":"Inside Amsterdam’s high-stakes experiment to create fair welfare AI","URL":"https://www.technologyreview.com/2025/06/11/1118233/amsterdam-fair-welfare-ai-discriminatory-algorithms-failure/","author":[{"family":"Guo","given":"Eileen"},{"family":"Geiger","given":"Gabriel"},{"family":"Braun","given":"Justin-Casimir"}],"accessed":{"date-parts":[["2026",8,25]]},"issued":{"date-parts":[["2025"]]}}}],"schema":"https://github.com/citation-style-language/schema/raw/master/csl-citation.json"} </w:instrText>
      </w:r>
      <w:r w:rsidR="009937CF" w:rsidRPr="00D17677">
        <w:rPr>
          <w:color w:val="0432FF"/>
        </w:rPr>
        <w:fldChar w:fldCharType="separate"/>
      </w:r>
      <w:r w:rsidR="009937CF" w:rsidRPr="00D17677">
        <w:rPr>
          <w:noProof/>
          <w:color w:val="0432FF"/>
        </w:rPr>
        <w:t>(Guo et al., 2025)</w:t>
      </w:r>
      <w:r w:rsidR="009937CF" w:rsidRPr="00D17677">
        <w:rPr>
          <w:color w:val="0432FF"/>
        </w:rPr>
        <w:fldChar w:fldCharType="end"/>
      </w:r>
      <w:r w:rsidR="001E4091" w:rsidRPr="00D17677">
        <w:rPr>
          <w:color w:val="0432FF"/>
        </w:rPr>
        <w:t xml:space="preserve">. </w:t>
      </w:r>
    </w:p>
    <w:p w14:paraId="1C76B049" w14:textId="5B9A27B1" w:rsidR="00D12B93" w:rsidRDefault="00D17677" w:rsidP="00D12B93">
      <w:r>
        <w:rPr>
          <w:color w:val="0432FF"/>
        </w:rPr>
        <w:t xml:space="preserve">The issue of problematic biases of AI systems </w:t>
      </w:r>
      <w:r w:rsidRPr="00D17677">
        <w:rPr>
          <w:color w:val="0432FF"/>
        </w:rPr>
        <w:t xml:space="preserve">used in public organizations is compounded by the </w:t>
      </w:r>
      <w:r w:rsidR="00A52AA9" w:rsidRPr="00D17677">
        <w:rPr>
          <w:color w:val="0432FF"/>
        </w:rPr>
        <w:t xml:space="preserve">limited </w:t>
      </w:r>
      <w:r w:rsidR="009937CF" w:rsidRPr="00D17677">
        <w:rPr>
          <w:color w:val="0432FF"/>
        </w:rPr>
        <w:t xml:space="preserve">transparency of AI </w:t>
      </w:r>
      <w:r w:rsidR="00A52AA9" w:rsidRPr="00D17677">
        <w:rPr>
          <w:color w:val="0432FF"/>
        </w:rPr>
        <w:t xml:space="preserve">use </w:t>
      </w:r>
      <w:r w:rsidR="009937CF" w:rsidRPr="00D17677">
        <w:rPr>
          <w:color w:val="0432FF"/>
        </w:rPr>
        <w:t>in government</w:t>
      </w:r>
      <w:r w:rsidR="00A52AA9" w:rsidRPr="00D17677">
        <w:rPr>
          <w:color w:val="0432FF"/>
        </w:rPr>
        <w:t xml:space="preserve"> toward the public</w:t>
      </w:r>
      <w:r w:rsidR="009937CF" w:rsidRPr="00D17677">
        <w:rPr>
          <w:color w:val="0432FF"/>
        </w:rPr>
        <w:t xml:space="preserve"> </w:t>
      </w:r>
      <w:r w:rsidR="009937CF" w:rsidRPr="00D17677">
        <w:rPr>
          <w:color w:val="0432FF"/>
        </w:rPr>
        <w:fldChar w:fldCharType="begin"/>
      </w:r>
      <w:r w:rsidR="009937CF" w:rsidRPr="00D17677">
        <w:rPr>
          <w:color w:val="0432FF"/>
        </w:rPr>
        <w:instrText xml:space="preserve"> ADDIN ZOTERO_ITEM CSL_CITATION {"citationID":"9Td69Lan","properties":{"unsorted":false,"formattedCitation":"(Busuioc, 2021)","plainCitation":"(Busuioc, 2021)","noteIndex":0},"citationItems":[{"id":8844,"uris":["http://zotero.org/users/4098260/items/RSPZMJV5"],"itemData":{"id":8844,"type":"article-journal","abstract":"Abstract\n            \n              \n              \n                Artificial intelligence (AI) algorithms govern in subtle yet fundamental ways the way we live and are transforming our societies. The promise of efficient, low</w:instrText>
      </w:r>
      <w:r w:rsidR="009937CF" w:rsidRPr="00D17677">
        <w:rPr>
          <w:rFonts w:ascii="Cambria Math" w:hAnsi="Cambria Math" w:cs="Cambria Math"/>
          <w:color w:val="0432FF"/>
        </w:rPr>
        <w:instrText>‐</w:instrText>
      </w:r>
      <w:r w:rsidR="009937CF" w:rsidRPr="00D17677">
        <w:rPr>
          <w:color w:val="0432FF"/>
        </w:rPr>
        <w:instrText>cost, or “neutral” solutions harnessing the potential of big data has led public bodies to adopt algorithmic systems in the provision of public services. As AI algorithms have permeated high</w:instrText>
      </w:r>
      <w:r w:rsidR="009937CF" w:rsidRPr="00D17677">
        <w:rPr>
          <w:rFonts w:ascii="Cambria Math" w:hAnsi="Cambria Math" w:cs="Cambria Math"/>
          <w:color w:val="0432FF"/>
        </w:rPr>
        <w:instrText>‐</w:instrText>
      </w:r>
      <w:r w:rsidR="009937CF" w:rsidRPr="00D17677">
        <w:rPr>
          <w:color w:val="0432FF"/>
        </w:rPr>
        <w:instrText>stakes aspects of our public existence—from hiring and education decisions to the governmental use of enforcement powers (policing) or liberty</w:instrText>
      </w:r>
      <w:r w:rsidR="009937CF" w:rsidRPr="00D17677">
        <w:rPr>
          <w:rFonts w:ascii="Cambria Math" w:hAnsi="Cambria Math" w:cs="Cambria Math"/>
          <w:color w:val="0432FF"/>
        </w:rPr>
        <w:instrText>‐</w:instrText>
      </w:r>
      <w:r w:rsidR="009937CF" w:rsidRPr="00D17677">
        <w:rPr>
          <w:color w:val="0432FF"/>
        </w:rPr>
        <w:instrText>restricting decisions (bail and sentencing)—this necessarily raises important accountability questions: What accountability challenges do AI algorithmic systems bring with them, and how can we safeguard accountability in algorithmic decision</w:instrText>
      </w:r>
      <w:r w:rsidR="009937CF" w:rsidRPr="00D17677">
        <w:rPr>
          <w:rFonts w:ascii="Cambria Math" w:hAnsi="Cambria Math" w:cs="Cambria Math"/>
          <w:color w:val="0432FF"/>
        </w:rPr>
        <w:instrText>‐</w:instrText>
      </w:r>
      <w:r w:rsidR="009937CF" w:rsidRPr="00D17677">
        <w:rPr>
          <w:color w:val="0432FF"/>
        </w:rPr>
        <w:instrText xml:space="preserve">making? Drawing on a decidedly public administration perspective, and given the current challenges that have thus far become manifest in the field, we critically reflect on and map out in a conceptually guided manner the implications of these systems, and the limitations they pose, for public accountability.","container-title":"Public Administration Review","DOI":"10.1111/puar.13293","ISSN":"0033-3352, 1540-6210","issue":"5","journalAbbreviation":"Public Administration Review","language":"en","page":"825-836","source":"DOI.org (Crossref)","title":"Accountable Artificial Intelligence: Holding Algorithms to Account","title-short":"Accountable Artificial Intelligence","volume":"81","author":[{"family":"Busuioc","given":"Madalina"}],"issued":{"date-parts":[["2021",9]]}}}],"schema":"https://github.com/citation-style-language/schema/raw/master/csl-citation.json"} </w:instrText>
      </w:r>
      <w:r w:rsidR="009937CF" w:rsidRPr="00D17677">
        <w:rPr>
          <w:color w:val="0432FF"/>
        </w:rPr>
        <w:fldChar w:fldCharType="separate"/>
      </w:r>
      <w:r w:rsidR="009937CF" w:rsidRPr="00D17677">
        <w:rPr>
          <w:noProof/>
          <w:color w:val="0432FF"/>
        </w:rPr>
        <w:t>(Busuioc, 2021)</w:t>
      </w:r>
      <w:r w:rsidR="009937CF" w:rsidRPr="00D17677">
        <w:rPr>
          <w:color w:val="0432FF"/>
        </w:rPr>
        <w:fldChar w:fldCharType="end"/>
      </w:r>
      <w:r w:rsidR="00EF605F" w:rsidRPr="00D17677">
        <w:rPr>
          <w:color w:val="0432FF"/>
        </w:rPr>
        <w:t xml:space="preserve">, which undermines the informational accountability of government toward citizens. </w:t>
      </w:r>
      <w:r w:rsidR="00D12B93" w:rsidRPr="00D12B93">
        <w:t>Informational accountability concerns the information that circulates back from institutions once they act: institutions must make their decisions and the reasons behind them sufficiently visible and well explained for that information to reach those with the authority or capacity to check them, question, contest, and, where necessary, correct or sanction them. This runs on two components — an obligation to explain and justify decisions and actions, and the capacity of others to sanction or correct them when that justification fails (Bovens, 2007; Lührmann et al., 2020; Schedler, 1999) — which the separation of legislative, executive, and judicial power, and the press and other actors that monitor them, are designed to guarantee (Schultz, 1998). An institution that explains itself without ever facing consequences is not accountable, and neither is one that can be sanctioned but is never required to answer.</w:t>
      </w:r>
    </w:p>
    <w:p w14:paraId="42AE53BA" w14:textId="06DB6B15" w:rsidR="00D12B93" w:rsidRDefault="00D12B93" w:rsidP="00D12B93">
      <w:r w:rsidRPr="00D12B93">
        <w:t xml:space="preserve">AI can weaken informational accountability by making responsibility for public decisions harder to trace. As public administrations increasingly rely on AI-mediated information and decisions, it can become more difficult to determine who is </w:t>
      </w:r>
      <w:r w:rsidRPr="004726F2">
        <w:t>responsible for a decision, on what information it was based, and how it can be challenged or corrected (Margetts &amp; Dorobantu, 2019</w:t>
      </w:r>
      <w:r w:rsidR="007D4A34" w:rsidRPr="004726F2">
        <w:t xml:space="preserve">; </w:t>
      </w:r>
      <w:r w:rsidR="007D4A34" w:rsidRPr="00304E1F">
        <w:rPr>
          <w:color w:val="0432FF"/>
        </w:rPr>
        <w:t>Alon-Barkat et al., 2025</w:t>
      </w:r>
      <w:r w:rsidRPr="00304E1F">
        <w:rPr>
          <w:color w:val="0432FF"/>
        </w:rPr>
        <w:t>).</w:t>
      </w:r>
      <w:r w:rsidRPr="0027542D">
        <w:t xml:space="preserve"> Hence, AI can widen power asymmetries between</w:t>
      </w:r>
      <w:r w:rsidRPr="00D12B93">
        <w:t xml:space="preserve"> citizens and institutions (Nasi, 2025), reshape institutional mechanisms through which accountability operates, such as elections (Jungherr, 2023; Summerfield et al., 2025)</w:t>
      </w:r>
      <w:r w:rsidR="007D4A34">
        <w:t xml:space="preserve"> and </w:t>
      </w:r>
      <w:r w:rsidR="007D4A34" w:rsidRPr="00304E1F">
        <w:rPr>
          <w:color w:val="0432FF"/>
        </w:rPr>
        <w:t xml:space="preserve">public service provision </w:t>
      </w:r>
      <w:r w:rsidR="00A93687" w:rsidRPr="00304E1F">
        <w:rPr>
          <w:color w:val="0432FF"/>
        </w:rPr>
        <w:fldChar w:fldCharType="begin"/>
      </w:r>
      <w:r w:rsidR="0027542D" w:rsidRPr="00304E1F">
        <w:rPr>
          <w:color w:val="0432FF"/>
        </w:rPr>
        <w:instrText xml:space="preserve"> ADDIN ZOTERO_ITEM CSL_CITATION {"citationID":"BM6wfLBY","properties":{"unsorted":false,"formattedCitation":"(Alon-Barkat et al., 2025)","plainCitation":"(Alon-Barkat et al., 2025)","noteIndex":0},"citationItems":[{"id":10194,"uris":["http://zotero.org/users/4098260/items/PKGFA2ZX"],"itemData":{"id":10194,"type":"article-journal","abstract":"Abstract\n            As public bodies increasingly adopt AI technologies in their work, there is simultaneously growing attention to the risk that the reliance on the technology may introduce biases and produce discriminatory administrative outcomes, as demonstrated by multiple real-world cases. Our contribution addresses a core theoretical puzzle: with AI algorithms being increasingly embedded across public services, we lack crucial knowledge about how citizens assign responsibility to public organizations for algorithmic failures and discrimination in public services compared to human discrimination. This speaks to key questions as to whether organizational responsibility attribution mechanisms and public demand for consequences fundamentally change in the context of algorithmic governance. Addressing this gap, we examine whether individual citizens are less likely to attribute responsibility for algorithmic versus human discrimination in public service provision. Building on psychology literature, we further theorize potential mechanisms that underlie these effects and shape citizens’ responses. We investigate these research questions through a pre-registered survey experiment conducted in the Netherlands (N</w:instrText>
      </w:r>
      <w:r w:rsidR="0027542D" w:rsidRPr="00304E1F">
        <w:rPr>
          <w:rFonts w:ascii="Arial" w:hAnsi="Arial" w:cs="Arial"/>
          <w:color w:val="0432FF"/>
        </w:rPr>
        <w:instrText> </w:instrText>
      </w:r>
      <w:r w:rsidR="0027542D" w:rsidRPr="00304E1F">
        <w:rPr>
          <w:color w:val="0432FF"/>
        </w:rPr>
        <w:instrText>=</w:instrText>
      </w:r>
      <w:r w:rsidR="0027542D" w:rsidRPr="00304E1F">
        <w:rPr>
          <w:rFonts w:ascii="Arial" w:hAnsi="Arial" w:cs="Arial"/>
          <w:color w:val="0432FF"/>
        </w:rPr>
        <w:instrText> </w:instrText>
      </w:r>
      <w:r w:rsidR="0027542D" w:rsidRPr="00304E1F">
        <w:rPr>
          <w:color w:val="0432FF"/>
        </w:rPr>
        <w:instrText xml:space="preserve">2,483). Our findings indicate that public organizations are not held to a lower responsibility standard for algorithmic compared to human discrimination. Technological delegation to AI does not allow public bodies to bypass responsibility for discriminatory outcomes. However, we find that citizens assign more responsibility for algorithmic discrimination when the algorithm is developed in-house rather than externally. This could lead to the emergence of accountability deficits pertaining to technological outsourcing.","container-title":"Journal of Public Administration Research and Theory","DOI":"10.1093/jopart/muaf024","ISSN":"1053-1858, 1477-9803","issue":"4","language":"en","license":"https://creativecommons.org/licenses/by-nc/4.0/","page":"469-488","source":"DOI.org (Crossref)","title":"Algorithmic discrimination in public service provision: Understanding citizens’ attribution of responsibility for human versus algorithmic discriminatory outcomes","title-short":"Algorithmic discrimination in public service provision","volume":"35","author":[{"family":"Alon-Barkat","given":"Saar"},{"family":"Busuioc","given":"Madalina"},{"family":"Schwoerer","given":"Kayla"},{"family":"Weißmüller","given":"Kristina S"}],"issued":{"date-parts":[["2025",10,8]]}}}],"schema":"https://github.com/citation-style-language/schema/raw/master/csl-citation.json"} </w:instrText>
      </w:r>
      <w:r w:rsidR="00A93687" w:rsidRPr="00304E1F">
        <w:rPr>
          <w:color w:val="0432FF"/>
        </w:rPr>
        <w:fldChar w:fldCharType="separate"/>
      </w:r>
      <w:r w:rsidR="0027542D" w:rsidRPr="00304E1F">
        <w:rPr>
          <w:noProof/>
          <w:color w:val="0432FF"/>
        </w:rPr>
        <w:t>(Alon-Barkat et al., 2025)</w:t>
      </w:r>
      <w:r w:rsidR="00A93687" w:rsidRPr="00304E1F">
        <w:rPr>
          <w:color w:val="0432FF"/>
        </w:rPr>
        <w:fldChar w:fldCharType="end"/>
      </w:r>
      <w:r w:rsidRPr="0027542D">
        <w:t>,</w:t>
      </w:r>
      <w:r w:rsidRPr="00D12B93">
        <w:t xml:space="preserve"> and more broadly undermine democratic processes (Altman, 2026; Jackson &amp; Woolley, 2025; Kreps &amp; Kriner, 2023), while also being deployed directly as a tool of authoritarian control (Feldstein, 2021; Garbe &amp; Maerz, 2026). Apart from that, the capacity to demand accountability is itself unevenly distributed. For instance, well-resourced organised interests can compel institutions to provide information, justify decisions, or correct wrongdoing far more effectively than small civil society groups. This makes the transparency and contestability of AI-mediated decisions particularly </w:t>
      </w:r>
      <w:r w:rsidRPr="00D12B93">
        <w:lastRenderedPageBreak/>
        <w:t>consequential for citizens who have the fewest resources with which to scrutinise them (Jungherr, 2023)</w:t>
      </w:r>
      <w:r w:rsidR="009B35BC" w:rsidRPr="009B35BC">
        <w:rPr>
          <w:color w:val="0432FF"/>
        </w:rPr>
        <w:t>, adding to the issues of fairness described above,</w:t>
      </w:r>
    </w:p>
    <w:p w14:paraId="64E76D64" w14:textId="229328FC" w:rsidR="00013416" w:rsidRPr="00304E1F" w:rsidRDefault="009B35BC" w:rsidP="00013416">
      <w:pPr>
        <w:rPr>
          <w:color w:val="0432FF"/>
        </w:rPr>
      </w:pPr>
      <w:r w:rsidRPr="00475AC9">
        <w:rPr>
          <w:color w:val="0432FF"/>
        </w:rPr>
        <w:t xml:space="preserve">The project will explore AI’s influence on legal and policy outcomes, including </w:t>
      </w:r>
      <w:r w:rsidR="00F708E4">
        <w:rPr>
          <w:color w:val="0432FF"/>
        </w:rPr>
        <w:t xml:space="preserve">its </w:t>
      </w:r>
      <w:r w:rsidRPr="00475AC9">
        <w:rPr>
          <w:color w:val="0432FF"/>
        </w:rPr>
        <w:t>unintended consequences</w:t>
      </w:r>
      <w:r w:rsidR="00F708E4">
        <w:rPr>
          <w:color w:val="0432FF"/>
        </w:rPr>
        <w:t xml:space="preserve"> </w:t>
      </w:r>
      <w:r w:rsidR="007977E3">
        <w:rPr>
          <w:color w:val="0432FF"/>
        </w:rPr>
        <w:t xml:space="preserve">in terms of </w:t>
      </w:r>
      <w:r w:rsidR="00AF77CD">
        <w:rPr>
          <w:color w:val="0432FF"/>
        </w:rPr>
        <w:t>distributional impacts</w:t>
      </w:r>
      <w:r w:rsidR="007977E3">
        <w:rPr>
          <w:color w:val="0432FF"/>
        </w:rPr>
        <w:t xml:space="preserve"> and</w:t>
      </w:r>
      <w:r w:rsidR="00AF77CD">
        <w:rPr>
          <w:color w:val="0432FF"/>
        </w:rPr>
        <w:t xml:space="preserve"> consequences for vulnerable groups. It will </w:t>
      </w:r>
      <w:r w:rsidR="000E2DA7" w:rsidRPr="00475AC9">
        <w:rPr>
          <w:color w:val="0432FF"/>
        </w:rPr>
        <w:t xml:space="preserve">examine how public organizations promote informational </w:t>
      </w:r>
      <w:r w:rsidR="000E2DA7" w:rsidRPr="00B42D50">
        <w:rPr>
          <w:color w:val="0432FF"/>
        </w:rPr>
        <w:t>accountability</w:t>
      </w:r>
      <w:r w:rsidR="00E7085C" w:rsidRPr="00B42D50">
        <w:rPr>
          <w:color w:val="0432FF"/>
        </w:rPr>
        <w:t>, particularly concerning value-laden decisions about the goals and fairness measures that AI systems optimize.</w:t>
      </w:r>
      <w:r w:rsidR="00013416" w:rsidRPr="00B42D50">
        <w:rPr>
          <w:color w:val="0432FF"/>
        </w:rPr>
        <w:t xml:space="preserve"> </w:t>
      </w:r>
      <w:r w:rsidR="00B42D50" w:rsidRPr="00B42D50">
        <w:rPr>
          <w:color w:val="0432FF"/>
        </w:rPr>
        <w:t>With</w:t>
      </w:r>
      <w:r w:rsidR="00013416">
        <w:rPr>
          <w:color w:val="0432FF"/>
        </w:rPr>
        <w:t xml:space="preserve"> this perspective, t</w:t>
      </w:r>
      <w:r w:rsidR="00013416" w:rsidRPr="0038129D">
        <w:rPr>
          <w:color w:val="0432FF"/>
        </w:rPr>
        <w:t>he project will</w:t>
      </w:r>
      <w:r w:rsidR="00595BBD">
        <w:rPr>
          <w:color w:val="0432FF"/>
        </w:rPr>
        <w:t xml:space="preserve"> systematically study governments</w:t>
      </w:r>
      <w:r w:rsidR="001A64B0">
        <w:rPr>
          <w:color w:val="0432FF"/>
        </w:rPr>
        <w:t>’</w:t>
      </w:r>
      <w:r w:rsidR="00595BBD">
        <w:rPr>
          <w:color w:val="0432FF"/>
        </w:rPr>
        <w:t xml:space="preserve"> </w:t>
      </w:r>
      <w:r w:rsidR="00595BBD" w:rsidRPr="00304E1F">
        <w:rPr>
          <w:color w:val="0432FF"/>
        </w:rPr>
        <w:t xml:space="preserve">efforts </w:t>
      </w:r>
      <w:r w:rsidR="00247F50" w:rsidRPr="00304E1F">
        <w:rPr>
          <w:color w:val="0432FF"/>
        </w:rPr>
        <w:t xml:space="preserve">and current blindspots </w:t>
      </w:r>
      <w:r w:rsidR="00595BBD" w:rsidRPr="00304E1F">
        <w:rPr>
          <w:color w:val="0432FF"/>
        </w:rPr>
        <w:t xml:space="preserve">of responsible AI adoption </w:t>
      </w:r>
      <w:r w:rsidR="00DC38E0" w:rsidRPr="00304E1F">
        <w:rPr>
          <w:color w:val="0432FF"/>
        </w:rPr>
        <w:t xml:space="preserve">in the EU and beyond </w:t>
      </w:r>
      <w:r w:rsidR="00595BBD" w:rsidRPr="00304E1F">
        <w:rPr>
          <w:color w:val="0432FF"/>
        </w:rPr>
        <w:t>to</w:t>
      </w:r>
      <w:r w:rsidR="00013416" w:rsidRPr="00304E1F">
        <w:rPr>
          <w:color w:val="0432FF"/>
        </w:rPr>
        <w:t xml:space="preserve"> identify best practices and regulatory measures </w:t>
      </w:r>
      <w:r w:rsidR="00F27F3A" w:rsidRPr="00304E1F">
        <w:rPr>
          <w:color w:val="0432FF"/>
        </w:rPr>
        <w:t>that</w:t>
      </w:r>
      <w:r w:rsidR="00013416" w:rsidRPr="00304E1F">
        <w:rPr>
          <w:color w:val="0432FF"/>
        </w:rPr>
        <w:t xml:space="preserve"> ensure the ethical deployment of AI in government</w:t>
      </w:r>
      <w:r w:rsidR="00DB5F0B" w:rsidRPr="00304E1F">
        <w:rPr>
          <w:color w:val="0432FF"/>
        </w:rPr>
        <w:t xml:space="preserve">. It will also evaluate existing and hypothetical </w:t>
      </w:r>
      <w:r w:rsidR="00013416" w:rsidRPr="00304E1F">
        <w:rPr>
          <w:color w:val="0432FF"/>
        </w:rPr>
        <w:t>ways of fostering AI literacy that</w:t>
      </w:r>
      <w:r w:rsidR="00DB5F0B" w:rsidRPr="00304E1F">
        <w:rPr>
          <w:color w:val="0432FF"/>
        </w:rPr>
        <w:t xml:space="preserve"> can</w:t>
      </w:r>
      <w:r w:rsidR="00013416" w:rsidRPr="00304E1F">
        <w:rPr>
          <w:color w:val="0432FF"/>
        </w:rPr>
        <w:t xml:space="preserve"> help to ensure t</w:t>
      </w:r>
      <w:r w:rsidR="00DB5F0B" w:rsidRPr="00304E1F">
        <w:rPr>
          <w:color w:val="0432FF"/>
        </w:rPr>
        <w:t xml:space="preserve">hat AI use </w:t>
      </w:r>
      <w:r w:rsidR="00C93332" w:rsidRPr="00304E1F">
        <w:rPr>
          <w:color w:val="0432FF"/>
        </w:rPr>
        <w:t xml:space="preserve">preserves the </w:t>
      </w:r>
      <w:r w:rsidR="00013416" w:rsidRPr="00304E1F">
        <w:rPr>
          <w:color w:val="0432FF"/>
        </w:rPr>
        <w:t>integrity of democratic government and contribute</w:t>
      </w:r>
      <w:r w:rsidR="00C93332" w:rsidRPr="00304E1F">
        <w:rPr>
          <w:color w:val="0432FF"/>
        </w:rPr>
        <w:t>s</w:t>
      </w:r>
      <w:r w:rsidR="00013416" w:rsidRPr="00304E1F">
        <w:rPr>
          <w:color w:val="0432FF"/>
        </w:rPr>
        <w:t xml:space="preserve"> to equality.</w:t>
      </w:r>
      <w:r w:rsidR="00247F50" w:rsidRPr="00304E1F">
        <w:rPr>
          <w:color w:val="0432FF"/>
        </w:rPr>
        <w:t xml:space="preserve"> By conducting multi-country comparative research, the project will develop an evidence-based framework for responsible AI risk governance to inform regulators, policymakers, and practice.</w:t>
      </w:r>
    </w:p>
    <w:p w14:paraId="5B887656" w14:textId="089DF91C" w:rsidR="00247F50" w:rsidRDefault="001F5360" w:rsidP="00D12B93">
      <w:r w:rsidRPr="001F5360">
        <w:rPr>
          <w:color w:val="0432FF"/>
        </w:rPr>
        <w:t xml:space="preserve">Furthermore, besides investigating measures to ensure responsible AI use in government, the project will also investigate use </w:t>
      </w:r>
      <w:r w:rsidR="00247F50">
        <w:rPr>
          <w:color w:val="0432FF"/>
        </w:rPr>
        <w:t xml:space="preserve">cases </w:t>
      </w:r>
      <w:r w:rsidRPr="001F5360">
        <w:rPr>
          <w:color w:val="0432FF"/>
        </w:rPr>
        <w:t xml:space="preserve">of AI that are expressly designed to strengthen democratic government and promote equality through greater informational autonomy. </w:t>
      </w:r>
      <w:r w:rsidR="00D12B93" w:rsidRPr="001F5360">
        <w:t xml:space="preserve">The same capabilities that can weaken </w:t>
      </w:r>
      <w:r w:rsidR="00D12B93" w:rsidRPr="009D3942">
        <w:rPr>
          <w:color w:val="000000" w:themeColor="text1"/>
        </w:rPr>
        <w:t xml:space="preserve">accountability </w:t>
      </w:r>
      <w:r w:rsidR="00247F50" w:rsidRPr="009D3942">
        <w:rPr>
          <w:color w:val="000000" w:themeColor="text1"/>
        </w:rPr>
        <w:t xml:space="preserve">may </w:t>
      </w:r>
      <w:r w:rsidR="00D12B93" w:rsidRPr="009D3942">
        <w:rPr>
          <w:color w:val="000000" w:themeColor="text1"/>
        </w:rPr>
        <w:t xml:space="preserve">also </w:t>
      </w:r>
      <w:r w:rsidR="00D12B93" w:rsidRPr="001F5360">
        <w:t xml:space="preserve">be used to strengthen it. This requires designing AI as democratic AI, meaning systems developed around democratic requirements such as transparency, traceability, explanation, critical assessment, and opportunities for correction, rather than treating these as safeguards to be added after deployment (Busuioc, 2021; Noveck, 2026). Audit and transparency tools can make AI-mediated decisions traceable, while institutional arrangements can ensure that those decisions and their underlying reasons remain open for critical investigations (Beckman et al., 2024; Cavaliere &amp; Romeo, 2022; Wieringa, 2020). </w:t>
      </w:r>
      <w:r w:rsidR="00247F50" w:rsidRPr="00304E1F">
        <w:rPr>
          <w:color w:val="0432FF"/>
        </w:rPr>
        <w:t>The project will implement this by advancing the emergent discourse on value-based AI risk governance</w:t>
      </w:r>
      <w:r w:rsidR="00304E1F" w:rsidRPr="00304E1F">
        <w:rPr>
          <w:color w:val="0432FF"/>
        </w:rPr>
        <w:t xml:space="preserve"> </w:t>
      </w:r>
      <w:r w:rsidR="00304E1F" w:rsidRPr="00304E1F">
        <w:rPr>
          <w:color w:val="0432FF"/>
        </w:rPr>
        <w:fldChar w:fldCharType="begin"/>
      </w:r>
      <w:r w:rsidR="00304E1F" w:rsidRPr="00304E1F">
        <w:rPr>
          <w:color w:val="0432FF"/>
        </w:rPr>
        <w:instrText xml:space="preserve"> ADDIN ZOTERO_ITEM CSL_CITATION {"citationID":"RiXgNJvP","properties":{"unsorted":false,"formattedCitation":"(Wei\\uc0\\u223{}m\\uc0\\u252{}ller, Hoppen, et al., 2026)","plainCitation":"(Weißmüller, Hoppen, et al., 2026)","noteIndex":0},"citationItems":[{"id":10482,"uris":["http://zotero.org/users/4098260/items/BCPHPP3W"],"itemData":{"id":10482,"type":"article","abstract":"The use of AI in public service provision can reshape citizen-state interactions, introducing new risks and challenges to ensure safe, inclusive, and just applications that do not discriminate against vulnerable citizens. This study examines how public service organizations govern these risks. Drawing on a meta-synthesis of AI risk governance scholarship (n=56), we synthesize the empirical evidence from a value-based risk governance perspective. We identify four governance challenges: (1) establishing substantive pre-assessment before adoption; (2) enabling informed, plural, and revisable appraisal; (3) ensuring meaningful human oversight during implementation; and (4) preserving organizational ownership in ensuring that monitoring and feedback are connected to correction and learning. For each challenge, the synthesis identifies failure patterns and proposes solutions on how to avoid them. Integrating these findings, we develop a novel evidence-based AI risk governance framework for public organizations. Advancing the discourse on technology risk governance and administrative burden in the age of AI, this study provides an organizational explanation for AI risk governance success and failure, offering insights for theory and practice.","DOI":"10.31235/osf.io/gz9jf_v1","license":"https://creativecommons.org/licenses/by/4.0/legalcode","publisher":"SocArXiv","source":"DOI.org (Crossref)","title":"Responsible AI Risk Governance in Public Service Organizations—Insights from a Meta-Synthesis","URL":"https://osf.io/gz9jf_v1","author":[{"family":"Weißmüller","given":"Kristina Sabrina"},{"family":"Hoppen","given":"Menno J."},{"family":"De Graaf","given":"Gjalt"}],"accessed":{"date-parts":[["2026",10,29]]},"issued":{"date-parts":[["2026",9,2]]}}}],"schema":"https://github.com/citation-style-language/schema/raw/master/csl-citation.json"} </w:instrText>
      </w:r>
      <w:r w:rsidR="00304E1F" w:rsidRPr="00304E1F">
        <w:rPr>
          <w:color w:val="0432FF"/>
        </w:rPr>
        <w:fldChar w:fldCharType="separate"/>
      </w:r>
      <w:r w:rsidR="00304E1F" w:rsidRPr="00304E1F">
        <w:rPr>
          <w:rFonts w:ascii="Aptos" w:cs="Times New Roman"/>
          <w:color w:val="0432FF"/>
          <w:kern w:val="0"/>
        </w:rPr>
        <w:t>(Weißmüller, Hoppen, et al., 2026)</w:t>
      </w:r>
      <w:r w:rsidR="00304E1F" w:rsidRPr="00304E1F">
        <w:rPr>
          <w:color w:val="0432FF"/>
        </w:rPr>
        <w:fldChar w:fldCharType="end"/>
      </w:r>
      <w:r w:rsidR="00247F50" w:rsidRPr="00304E1F">
        <w:rPr>
          <w:color w:val="0432FF"/>
        </w:rPr>
        <w:t xml:space="preserve">, empirically linking micro- and meso-level insights on AI practices with societal outcomes. </w:t>
      </w:r>
    </w:p>
    <w:p w14:paraId="152CB852" w14:textId="0E3D2A32" w:rsidR="004712FB" w:rsidRDefault="00D12B93" w:rsidP="00D12B93">
      <w:r w:rsidRPr="001F5360">
        <w:t>AI can thus become not only an object of accountability but also an instrument for strengthening it, by reducing some of the informational and analytical costs of oversight and enabling citizens and civil-society organisations to evaluate and challenge public decisions (Cavaliere &amp; Romeo, 2022; König &amp; Wenzelburger, 2022). Designed in this way, AI has the potential to narrow rather than widen existing asymmetries in the capacity to hold institutions to account.</w:t>
      </w:r>
    </w:p>
    <w:p w14:paraId="32948F32" w14:textId="4365DEE5" w:rsidR="00297956" w:rsidRDefault="004712FB" w:rsidP="00705A9D">
      <w:pPr>
        <w:jc w:val="left"/>
        <w:rPr>
          <w:b/>
          <w:bCs/>
        </w:rPr>
      </w:pPr>
      <w:r>
        <w:rPr>
          <w:b/>
          <w:bCs/>
        </w:rPr>
        <w:br w:type="page"/>
      </w:r>
    </w:p>
    <w:p w14:paraId="15169F2D" w14:textId="22DFFD5A" w:rsidR="00304E1F" w:rsidRDefault="004B705E" w:rsidP="00705A9D">
      <w:pPr>
        <w:jc w:val="left"/>
        <w:rPr>
          <w:b/>
          <w:bCs/>
        </w:rPr>
      </w:pPr>
      <w:r>
        <w:rPr>
          <w:b/>
          <w:bCs/>
        </w:rPr>
        <w:lastRenderedPageBreak/>
        <w:t xml:space="preserve">Added </w:t>
      </w:r>
      <w:r w:rsidR="00304E1F">
        <w:rPr>
          <w:b/>
          <w:bCs/>
        </w:rPr>
        <w:t>References</w:t>
      </w:r>
    </w:p>
    <w:p w14:paraId="5BE7EFED" w14:textId="77777777" w:rsidR="002F43C6" w:rsidRPr="002F43C6" w:rsidRDefault="00304E1F" w:rsidP="002F43C6">
      <w:pPr>
        <w:pStyle w:val="Bibliography"/>
        <w:rPr>
          <w:rFonts w:ascii="Aptos"/>
        </w:rPr>
      </w:pPr>
      <w:r>
        <w:rPr>
          <w:b/>
          <w:bCs/>
        </w:rPr>
        <w:fldChar w:fldCharType="begin"/>
      </w:r>
      <w:r>
        <w:rPr>
          <w:b/>
          <w:bCs/>
        </w:rPr>
        <w:instrText xml:space="preserve"> ADDIN ZOTERO_BIBL {"uncited":[],"omitted":[],"custom":[]} CSL_BIBLIOGRAPHY </w:instrText>
      </w:r>
      <w:r>
        <w:rPr>
          <w:b/>
          <w:bCs/>
        </w:rPr>
        <w:fldChar w:fldCharType="separate"/>
      </w:r>
      <w:r w:rsidR="002F43C6" w:rsidRPr="002F43C6">
        <w:rPr>
          <w:rFonts w:ascii="Aptos"/>
        </w:rPr>
        <w:t xml:space="preserve">Alon-Barkat, S., Busuioc, M., Schwoerer, K., &amp; Weißmüller, K. S. (2025). Algorithmic discrimination in public service provision: Understanding citizens’ attribution of responsibility for human versus algorithmic discriminatory outcomes. </w:t>
      </w:r>
      <w:r w:rsidR="002F43C6" w:rsidRPr="002F43C6">
        <w:rPr>
          <w:rFonts w:ascii="Aptos"/>
          <w:i/>
          <w:iCs/>
        </w:rPr>
        <w:t>Journal of Public Administration Research and Theory</w:t>
      </w:r>
      <w:r w:rsidR="002F43C6" w:rsidRPr="002F43C6">
        <w:rPr>
          <w:rFonts w:ascii="Aptos"/>
        </w:rPr>
        <w:t xml:space="preserve">, </w:t>
      </w:r>
      <w:r w:rsidR="002F43C6" w:rsidRPr="002F43C6">
        <w:rPr>
          <w:rFonts w:ascii="Aptos"/>
          <w:i/>
          <w:iCs/>
        </w:rPr>
        <w:t>35</w:t>
      </w:r>
      <w:r w:rsidR="002F43C6" w:rsidRPr="002F43C6">
        <w:rPr>
          <w:rFonts w:ascii="Aptos"/>
        </w:rPr>
        <w:t>(4), 469–488. https://doi.org/10.1093/jopart/muaf024</w:t>
      </w:r>
    </w:p>
    <w:p w14:paraId="6BEC441E" w14:textId="77777777" w:rsidR="002F43C6" w:rsidRPr="002F43C6" w:rsidRDefault="002F43C6" w:rsidP="002F43C6">
      <w:pPr>
        <w:pStyle w:val="Bibliography"/>
        <w:rPr>
          <w:rFonts w:ascii="Aptos"/>
        </w:rPr>
      </w:pPr>
      <w:r w:rsidRPr="002F43C6">
        <w:rPr>
          <w:rFonts w:ascii="Aptos"/>
        </w:rPr>
        <w:t xml:space="preserve">Berk, R., Heidari, H., Jabbari, S., Kearns, M., &amp; Roth, A. (2018). Fairness in Criminal Justice Risk Assessments: The State of the Art. </w:t>
      </w:r>
      <w:r w:rsidRPr="002F43C6">
        <w:rPr>
          <w:rFonts w:ascii="Aptos"/>
          <w:i/>
          <w:iCs/>
        </w:rPr>
        <w:t>Sociological Methods &amp; Research</w:t>
      </w:r>
      <w:r w:rsidRPr="002F43C6">
        <w:rPr>
          <w:rFonts w:ascii="Aptos"/>
        </w:rPr>
        <w:t xml:space="preserve">, </w:t>
      </w:r>
      <w:r w:rsidRPr="002F43C6">
        <w:rPr>
          <w:rFonts w:ascii="Aptos"/>
          <w:i/>
          <w:iCs/>
        </w:rPr>
        <w:t>50</w:t>
      </w:r>
      <w:r w:rsidRPr="002F43C6">
        <w:rPr>
          <w:rFonts w:ascii="Aptos"/>
        </w:rPr>
        <w:t>(1), 1–42. https://doi.org/10.1177/0049124118782533</w:t>
      </w:r>
    </w:p>
    <w:p w14:paraId="61FE17C0" w14:textId="77777777" w:rsidR="002F43C6" w:rsidRPr="002F43C6" w:rsidRDefault="002F43C6" w:rsidP="002F43C6">
      <w:pPr>
        <w:pStyle w:val="Bibliography"/>
        <w:rPr>
          <w:rFonts w:ascii="Aptos"/>
        </w:rPr>
      </w:pPr>
      <w:r w:rsidRPr="002F43C6">
        <w:rPr>
          <w:rFonts w:ascii="Aptos"/>
        </w:rPr>
        <w:t xml:space="preserve">Busuioc, M. (2021). Accountable Artificial Intelligence: Holding Algorithms to Account. </w:t>
      </w:r>
      <w:r w:rsidRPr="002F43C6">
        <w:rPr>
          <w:rFonts w:ascii="Aptos"/>
          <w:i/>
          <w:iCs/>
        </w:rPr>
        <w:t>Public Administration Review</w:t>
      </w:r>
      <w:r w:rsidRPr="002F43C6">
        <w:rPr>
          <w:rFonts w:ascii="Aptos"/>
        </w:rPr>
        <w:t xml:space="preserve">, </w:t>
      </w:r>
      <w:r w:rsidRPr="002F43C6">
        <w:rPr>
          <w:rFonts w:ascii="Aptos"/>
          <w:i/>
          <w:iCs/>
        </w:rPr>
        <w:t>81</w:t>
      </w:r>
      <w:r w:rsidRPr="002F43C6">
        <w:rPr>
          <w:rFonts w:ascii="Aptos"/>
        </w:rPr>
        <w:t>(5), 825–836. https://doi.org/10.1111/puar.13293</w:t>
      </w:r>
    </w:p>
    <w:p w14:paraId="6BE20D52" w14:textId="77777777" w:rsidR="002F43C6" w:rsidRPr="002F43C6" w:rsidRDefault="002F43C6" w:rsidP="002F43C6">
      <w:pPr>
        <w:pStyle w:val="Bibliography"/>
        <w:rPr>
          <w:rFonts w:ascii="Aptos"/>
        </w:rPr>
      </w:pPr>
      <w:r w:rsidRPr="002F43C6">
        <w:rPr>
          <w:rFonts w:ascii="Aptos"/>
        </w:rPr>
        <w:t xml:space="preserve">Guo, E., Geiger, G., &amp; Braun, J.-C. (2025). Inside Amsterdam’s high-stakes experiment to create fair welfare AI. </w:t>
      </w:r>
      <w:r w:rsidRPr="002F43C6">
        <w:rPr>
          <w:rFonts w:ascii="Aptos"/>
          <w:i/>
          <w:iCs/>
        </w:rPr>
        <w:t>MIT Technolgoy Review</w:t>
      </w:r>
      <w:r w:rsidRPr="002F43C6">
        <w:rPr>
          <w:rFonts w:ascii="Aptos"/>
        </w:rPr>
        <w:t>. https://www.technologyreview.com/2025/06/11/1118233/amsterdam-fair-welfare-ai-discriminatory-algorithms-failure/</w:t>
      </w:r>
    </w:p>
    <w:p w14:paraId="5A25E432" w14:textId="77777777" w:rsidR="002F43C6" w:rsidRPr="002F43C6" w:rsidRDefault="002F43C6" w:rsidP="002F43C6">
      <w:pPr>
        <w:pStyle w:val="Bibliography"/>
        <w:rPr>
          <w:rFonts w:ascii="Aptos"/>
        </w:rPr>
      </w:pPr>
      <w:r w:rsidRPr="002F43C6">
        <w:rPr>
          <w:rFonts w:ascii="Aptos"/>
          <w:lang w:val="nl-NL"/>
        </w:rPr>
        <w:t xml:space="preserve">Koenig, P. D., &amp; Wenzelburger, G. (2025). </w:t>
      </w:r>
      <w:r w:rsidRPr="002F43C6">
        <w:rPr>
          <w:rFonts w:ascii="Aptos"/>
        </w:rPr>
        <w:t xml:space="preserve">The potentials and limitations of using artificial intelligence for policymaking. In M. Howlett &amp; I. Mukherjee (Eds.), </w:t>
      </w:r>
      <w:r w:rsidRPr="002F43C6">
        <w:rPr>
          <w:rFonts w:ascii="Aptos"/>
          <w:i/>
          <w:iCs/>
        </w:rPr>
        <w:t>Handbook of Policy Advice</w:t>
      </w:r>
      <w:r w:rsidRPr="002F43C6">
        <w:rPr>
          <w:rFonts w:ascii="Aptos"/>
        </w:rPr>
        <w:t xml:space="preserve"> (pp. 622–637). Edward Elgar Publishing. https://doi.org/10.4337/9781035318087.00065</w:t>
      </w:r>
    </w:p>
    <w:p w14:paraId="7AB03118" w14:textId="77777777" w:rsidR="002F43C6" w:rsidRPr="002F43C6" w:rsidRDefault="002F43C6" w:rsidP="002F43C6">
      <w:pPr>
        <w:pStyle w:val="Bibliography"/>
        <w:rPr>
          <w:rFonts w:ascii="Aptos"/>
        </w:rPr>
      </w:pPr>
      <w:r w:rsidRPr="002F43C6">
        <w:rPr>
          <w:rFonts w:ascii="Aptos"/>
        </w:rPr>
        <w:t xml:space="preserve">König, P. D., &amp; Wenzelburger, G. (2022). Between technochauvinism and human-centrism: Can algorithms improve decision-making in democratic politics? </w:t>
      </w:r>
      <w:r w:rsidRPr="002F43C6">
        <w:rPr>
          <w:rFonts w:ascii="Aptos"/>
          <w:i/>
          <w:iCs/>
        </w:rPr>
        <w:t>European Political Science</w:t>
      </w:r>
      <w:r w:rsidRPr="002F43C6">
        <w:rPr>
          <w:rFonts w:ascii="Aptos"/>
        </w:rPr>
        <w:t xml:space="preserve">, </w:t>
      </w:r>
      <w:r w:rsidRPr="002F43C6">
        <w:rPr>
          <w:rFonts w:ascii="Aptos"/>
          <w:i/>
          <w:iCs/>
        </w:rPr>
        <w:t>21</w:t>
      </w:r>
      <w:r w:rsidRPr="002F43C6">
        <w:rPr>
          <w:rFonts w:ascii="Aptos"/>
        </w:rPr>
        <w:t>(1), 132–149. https://doi.org/10.1057/s41304-020-00298-3</w:t>
      </w:r>
    </w:p>
    <w:p w14:paraId="54586B3D" w14:textId="77777777" w:rsidR="002F43C6" w:rsidRPr="002F43C6" w:rsidRDefault="002F43C6" w:rsidP="002F43C6">
      <w:pPr>
        <w:pStyle w:val="Bibliography"/>
        <w:rPr>
          <w:rFonts w:ascii="Aptos"/>
        </w:rPr>
      </w:pPr>
      <w:r w:rsidRPr="002F43C6">
        <w:rPr>
          <w:rFonts w:ascii="Aptos"/>
        </w:rPr>
        <w:t xml:space="preserve">Newman, J., &amp; Mintrom, M. (2023). Mapping the discourse on evidence-based policy, artificial intelligence, and the ethical practice of policy analysis. </w:t>
      </w:r>
      <w:r w:rsidRPr="002F43C6">
        <w:rPr>
          <w:rFonts w:ascii="Aptos"/>
          <w:i/>
          <w:iCs/>
        </w:rPr>
        <w:t>Journal of European Public Policy</w:t>
      </w:r>
      <w:r w:rsidRPr="002F43C6">
        <w:rPr>
          <w:rFonts w:ascii="Aptos"/>
        </w:rPr>
        <w:t xml:space="preserve">, </w:t>
      </w:r>
      <w:r w:rsidRPr="002F43C6">
        <w:rPr>
          <w:rFonts w:ascii="Aptos"/>
          <w:i/>
          <w:iCs/>
        </w:rPr>
        <w:t>30</w:t>
      </w:r>
      <w:r w:rsidRPr="002F43C6">
        <w:rPr>
          <w:rFonts w:ascii="Aptos"/>
        </w:rPr>
        <w:t>(9), 1839–1859. https://doi.org/10.1080/13501763.2023.2193223</w:t>
      </w:r>
    </w:p>
    <w:p w14:paraId="5F16F739" w14:textId="77777777" w:rsidR="002F43C6" w:rsidRPr="002F43C6" w:rsidRDefault="002F43C6" w:rsidP="002F43C6">
      <w:pPr>
        <w:pStyle w:val="Bibliography"/>
        <w:rPr>
          <w:rFonts w:ascii="Aptos"/>
          <w:lang w:val="nl-NL"/>
        </w:rPr>
      </w:pPr>
      <w:r w:rsidRPr="002F43C6">
        <w:rPr>
          <w:rFonts w:ascii="Aptos"/>
        </w:rPr>
        <w:lastRenderedPageBreak/>
        <w:t xml:space="preserve">Weißmüller, K. S., Hoppen, M. J., &amp; De Graaf, G. (2026). </w:t>
      </w:r>
      <w:r w:rsidRPr="002F43C6">
        <w:rPr>
          <w:rFonts w:ascii="Aptos"/>
          <w:i/>
          <w:iCs/>
        </w:rPr>
        <w:t>Responsible AI Risk Governance in Public Service Organizations—Insights from a Meta-Synthesis</w:t>
      </w:r>
      <w:r w:rsidRPr="002F43C6">
        <w:rPr>
          <w:rFonts w:ascii="Aptos"/>
        </w:rPr>
        <w:t xml:space="preserve">. </w:t>
      </w:r>
      <w:r w:rsidRPr="002F43C6">
        <w:rPr>
          <w:rFonts w:ascii="Aptos"/>
          <w:lang w:val="nl-NL"/>
        </w:rPr>
        <w:t>SocArXiv. https://doi.org/10.31235/osf.io/gz9jf_v1</w:t>
      </w:r>
    </w:p>
    <w:p w14:paraId="0F172D69" w14:textId="77777777" w:rsidR="002F43C6" w:rsidRPr="002F43C6" w:rsidRDefault="002F43C6" w:rsidP="002F43C6">
      <w:pPr>
        <w:pStyle w:val="Bibliography"/>
        <w:rPr>
          <w:rFonts w:ascii="Aptos"/>
          <w:lang w:val="nl-NL"/>
        </w:rPr>
      </w:pPr>
      <w:r w:rsidRPr="002F43C6">
        <w:rPr>
          <w:rFonts w:ascii="Aptos"/>
          <w:lang w:val="nl-NL"/>
        </w:rPr>
        <w:t xml:space="preserve">Weißmüller, K. S., &amp; Koenig, P. (2026). </w:t>
      </w:r>
      <w:r w:rsidRPr="002F43C6">
        <w:rPr>
          <w:rFonts w:ascii="Aptos"/>
          <w:i/>
          <w:iCs/>
        </w:rPr>
        <w:t>Understanding Human-Technology Interaction: Models, Ethics, and the Future of Control</w:t>
      </w:r>
      <w:r w:rsidRPr="002F43C6">
        <w:rPr>
          <w:rFonts w:ascii="Aptos"/>
        </w:rPr>
        <w:t xml:space="preserve">. </w:t>
      </w:r>
      <w:r w:rsidRPr="002F43C6">
        <w:rPr>
          <w:rFonts w:ascii="Aptos"/>
          <w:lang w:val="nl-NL"/>
        </w:rPr>
        <w:t>SocArXiv. https://doi.org/10.31235/osf.io/hd7as_v1</w:t>
      </w:r>
    </w:p>
    <w:p w14:paraId="0735D79C" w14:textId="77777777" w:rsidR="002F43C6" w:rsidRPr="002F43C6" w:rsidRDefault="002F43C6" w:rsidP="002F43C6">
      <w:pPr>
        <w:pStyle w:val="Bibliography"/>
        <w:rPr>
          <w:rFonts w:ascii="Aptos"/>
        </w:rPr>
      </w:pPr>
      <w:r w:rsidRPr="002F43C6">
        <w:rPr>
          <w:rFonts w:ascii="Aptos"/>
          <w:lang w:val="nl-NL"/>
        </w:rPr>
        <w:t xml:space="preserve">Weißmüller, K. S., Van Den Broek, T. A., Krawinkel, J. S., &amp; Watson, S. J. (2026). </w:t>
      </w:r>
      <w:r w:rsidRPr="002F43C6">
        <w:rPr>
          <w:rFonts w:ascii="Aptos"/>
        </w:rPr>
        <w:t xml:space="preserve">How Organizations Involved in Criminal Activity Sway Public Opinion: An Empirically Grounded Integrative Framework of Discursive Legitimation. </w:t>
      </w:r>
      <w:r w:rsidRPr="002F43C6">
        <w:rPr>
          <w:rFonts w:ascii="Aptos"/>
          <w:i/>
          <w:iCs/>
        </w:rPr>
        <w:t>European Management Journal</w:t>
      </w:r>
      <w:r w:rsidRPr="002F43C6">
        <w:rPr>
          <w:rFonts w:ascii="Aptos"/>
        </w:rPr>
        <w:t xml:space="preserve">, </w:t>
      </w:r>
      <w:r w:rsidRPr="002F43C6">
        <w:rPr>
          <w:rFonts w:ascii="Aptos"/>
          <w:i/>
          <w:iCs/>
        </w:rPr>
        <w:t>online first</w:t>
      </w:r>
      <w:r w:rsidRPr="002F43C6">
        <w:rPr>
          <w:rFonts w:ascii="Aptos"/>
        </w:rPr>
        <w:t>. https://doi.org/10.1016/j.emj.2026.10.006</w:t>
      </w:r>
    </w:p>
    <w:p w14:paraId="379D3392" w14:textId="77777777" w:rsidR="002F43C6" w:rsidRPr="002F43C6" w:rsidRDefault="002F43C6" w:rsidP="002F43C6">
      <w:pPr>
        <w:pStyle w:val="Bibliography"/>
        <w:rPr>
          <w:rFonts w:ascii="Aptos"/>
        </w:rPr>
      </w:pPr>
      <w:r w:rsidRPr="002F43C6">
        <w:rPr>
          <w:rFonts w:ascii="Aptos"/>
        </w:rPr>
        <w:t xml:space="preserve">Yeung, K., Howes, A., &amp; Pogrebna, G. (2020). AI Governance by Human Rights–Centered Design, Deliberation, and Oversight: An End to Ethics Washing. In K. Yeung, A. Howes, &amp; G. Pogrebna, </w:t>
      </w:r>
      <w:r w:rsidRPr="002F43C6">
        <w:rPr>
          <w:rFonts w:ascii="Aptos"/>
          <w:i/>
          <w:iCs/>
        </w:rPr>
        <w:t>The Oxford Handbook of Ethics of AI</w:t>
      </w:r>
      <w:r w:rsidRPr="002F43C6">
        <w:rPr>
          <w:rFonts w:ascii="Aptos"/>
        </w:rPr>
        <w:t xml:space="preserve"> (pp. 75–106). Oxford University Press. https://doi.org/10.1093/oxfordhb/9780190067397.013.5</w:t>
      </w:r>
    </w:p>
    <w:p w14:paraId="03296260" w14:textId="24D02ED9" w:rsidR="00304E1F" w:rsidRPr="00705A9D" w:rsidRDefault="00304E1F" w:rsidP="002F43C6">
      <w:pPr>
        <w:pStyle w:val="Bibliography"/>
        <w:rPr>
          <w:b/>
          <w:bCs/>
        </w:rPr>
      </w:pPr>
      <w:r>
        <w:rPr>
          <w:b/>
          <w:bCs/>
        </w:rPr>
        <w:fldChar w:fldCharType="end"/>
      </w:r>
    </w:p>
    <w:sectPr w:rsidR="00304E1F" w:rsidRPr="00705A9D">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F57723" w14:textId="77777777" w:rsidR="00764CC7" w:rsidRDefault="00764CC7" w:rsidP="00592720">
      <w:pPr>
        <w:spacing w:after="0" w:line="240" w:lineRule="auto"/>
      </w:pPr>
      <w:r>
        <w:separator/>
      </w:r>
    </w:p>
  </w:endnote>
  <w:endnote w:type="continuationSeparator" w:id="0">
    <w:p w14:paraId="121951E8" w14:textId="77777777" w:rsidR="00764CC7" w:rsidRDefault="00764CC7" w:rsidP="00592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9801434"/>
      <w:docPartObj>
        <w:docPartGallery w:val="Page Numbers (Bottom of Page)"/>
        <w:docPartUnique/>
      </w:docPartObj>
    </w:sdtPr>
    <w:sdtContent>
      <w:p w14:paraId="2C379211" w14:textId="645AA4F4" w:rsidR="00592720" w:rsidRDefault="00592720" w:rsidP="00672E7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66BA2C" w14:textId="77777777" w:rsidR="00592720" w:rsidRDefault="005927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13466846"/>
      <w:docPartObj>
        <w:docPartGallery w:val="Page Numbers (Bottom of Page)"/>
        <w:docPartUnique/>
      </w:docPartObj>
    </w:sdtPr>
    <w:sdtContent>
      <w:p w14:paraId="0F5C6DEC" w14:textId="3F81B280" w:rsidR="00592720" w:rsidRDefault="00592720" w:rsidP="00672E7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42B4CA" w14:textId="77777777" w:rsidR="00592720" w:rsidRDefault="00592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A1860" w14:textId="77777777" w:rsidR="00764CC7" w:rsidRDefault="00764CC7" w:rsidP="00592720">
      <w:pPr>
        <w:spacing w:after="0" w:line="240" w:lineRule="auto"/>
      </w:pPr>
      <w:r>
        <w:separator/>
      </w:r>
    </w:p>
  </w:footnote>
  <w:footnote w:type="continuationSeparator" w:id="0">
    <w:p w14:paraId="3FC37A86" w14:textId="77777777" w:rsidR="00764CC7" w:rsidRDefault="00764CC7" w:rsidP="00592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BE5F3E"/>
    <w:multiLevelType w:val="multilevel"/>
    <w:tmpl w:val="3392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02EEB"/>
    <w:multiLevelType w:val="hybridMultilevel"/>
    <w:tmpl w:val="2D8A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6E6266"/>
    <w:multiLevelType w:val="hybridMultilevel"/>
    <w:tmpl w:val="434C0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6258511">
    <w:abstractNumId w:val="0"/>
  </w:num>
  <w:num w:numId="2" w16cid:durableId="130052715">
    <w:abstractNumId w:val="2"/>
  </w:num>
  <w:num w:numId="3" w16cid:durableId="92171966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56"/>
    <w:rsid w:val="00007C8D"/>
    <w:rsid w:val="00013416"/>
    <w:rsid w:val="00024416"/>
    <w:rsid w:val="00034BC6"/>
    <w:rsid w:val="00050931"/>
    <w:rsid w:val="00057CE6"/>
    <w:rsid w:val="00080E04"/>
    <w:rsid w:val="000A2958"/>
    <w:rsid w:val="000B2BB1"/>
    <w:rsid w:val="000B2F43"/>
    <w:rsid w:val="000E2DA7"/>
    <w:rsid w:val="00116627"/>
    <w:rsid w:val="00134515"/>
    <w:rsid w:val="001865F1"/>
    <w:rsid w:val="00191128"/>
    <w:rsid w:val="00195A4C"/>
    <w:rsid w:val="001A0BBC"/>
    <w:rsid w:val="001A64B0"/>
    <w:rsid w:val="001B1954"/>
    <w:rsid w:val="001E4091"/>
    <w:rsid w:val="001F5360"/>
    <w:rsid w:val="00215450"/>
    <w:rsid w:val="00230990"/>
    <w:rsid w:val="00244945"/>
    <w:rsid w:val="00247F50"/>
    <w:rsid w:val="00263BCA"/>
    <w:rsid w:val="0027542D"/>
    <w:rsid w:val="002779B0"/>
    <w:rsid w:val="00297956"/>
    <w:rsid w:val="002A79B7"/>
    <w:rsid w:val="002C4505"/>
    <w:rsid w:val="002F43C6"/>
    <w:rsid w:val="00304E1F"/>
    <w:rsid w:val="00341335"/>
    <w:rsid w:val="003552FC"/>
    <w:rsid w:val="0036428A"/>
    <w:rsid w:val="003668BA"/>
    <w:rsid w:val="0037274D"/>
    <w:rsid w:val="0038129D"/>
    <w:rsid w:val="0039707B"/>
    <w:rsid w:val="0039743B"/>
    <w:rsid w:val="00403DFD"/>
    <w:rsid w:val="004102F1"/>
    <w:rsid w:val="0041744F"/>
    <w:rsid w:val="00426A3B"/>
    <w:rsid w:val="004430C2"/>
    <w:rsid w:val="00465C7F"/>
    <w:rsid w:val="004712FB"/>
    <w:rsid w:val="004726F2"/>
    <w:rsid w:val="004727DC"/>
    <w:rsid w:val="004738AC"/>
    <w:rsid w:val="00475AC9"/>
    <w:rsid w:val="004B705E"/>
    <w:rsid w:val="004C1D8F"/>
    <w:rsid w:val="004C2962"/>
    <w:rsid w:val="004D2DED"/>
    <w:rsid w:val="004E2DE5"/>
    <w:rsid w:val="004F108E"/>
    <w:rsid w:val="0050255B"/>
    <w:rsid w:val="0050684A"/>
    <w:rsid w:val="00510D43"/>
    <w:rsid w:val="0051682B"/>
    <w:rsid w:val="00526CD4"/>
    <w:rsid w:val="00592720"/>
    <w:rsid w:val="00595BBD"/>
    <w:rsid w:val="00597A4D"/>
    <w:rsid w:val="005A4BBB"/>
    <w:rsid w:val="005B09D2"/>
    <w:rsid w:val="005B1C27"/>
    <w:rsid w:val="005B3499"/>
    <w:rsid w:val="0061013F"/>
    <w:rsid w:val="00614A6A"/>
    <w:rsid w:val="006205BA"/>
    <w:rsid w:val="00641673"/>
    <w:rsid w:val="00664C77"/>
    <w:rsid w:val="006700C6"/>
    <w:rsid w:val="00697088"/>
    <w:rsid w:val="006F578D"/>
    <w:rsid w:val="00705A9D"/>
    <w:rsid w:val="00723DB4"/>
    <w:rsid w:val="0073379A"/>
    <w:rsid w:val="007357DA"/>
    <w:rsid w:val="00756492"/>
    <w:rsid w:val="00764CC7"/>
    <w:rsid w:val="00783CE6"/>
    <w:rsid w:val="00795E75"/>
    <w:rsid w:val="007977E3"/>
    <w:rsid w:val="007A1519"/>
    <w:rsid w:val="007A32D2"/>
    <w:rsid w:val="007C0369"/>
    <w:rsid w:val="007C14DE"/>
    <w:rsid w:val="007C2846"/>
    <w:rsid w:val="007D0924"/>
    <w:rsid w:val="007D4A34"/>
    <w:rsid w:val="007E3533"/>
    <w:rsid w:val="007F6B19"/>
    <w:rsid w:val="0081260E"/>
    <w:rsid w:val="008629CB"/>
    <w:rsid w:val="0087414F"/>
    <w:rsid w:val="008A0347"/>
    <w:rsid w:val="008B7239"/>
    <w:rsid w:val="008C2E14"/>
    <w:rsid w:val="008D3915"/>
    <w:rsid w:val="008F6F6C"/>
    <w:rsid w:val="00930C21"/>
    <w:rsid w:val="0095160E"/>
    <w:rsid w:val="00960528"/>
    <w:rsid w:val="00966AD3"/>
    <w:rsid w:val="009937CF"/>
    <w:rsid w:val="009B35BC"/>
    <w:rsid w:val="009B4ADC"/>
    <w:rsid w:val="009C23EB"/>
    <w:rsid w:val="009C2876"/>
    <w:rsid w:val="009D3942"/>
    <w:rsid w:val="009F468E"/>
    <w:rsid w:val="00A076B1"/>
    <w:rsid w:val="00A50A81"/>
    <w:rsid w:val="00A52AA9"/>
    <w:rsid w:val="00A93687"/>
    <w:rsid w:val="00AB7853"/>
    <w:rsid w:val="00AD1A0E"/>
    <w:rsid w:val="00AF77CD"/>
    <w:rsid w:val="00B06549"/>
    <w:rsid w:val="00B37D65"/>
    <w:rsid w:val="00B42D50"/>
    <w:rsid w:val="00B43ABF"/>
    <w:rsid w:val="00B65374"/>
    <w:rsid w:val="00BA4E3C"/>
    <w:rsid w:val="00BB2AEA"/>
    <w:rsid w:val="00BD483E"/>
    <w:rsid w:val="00BF739B"/>
    <w:rsid w:val="00C2469D"/>
    <w:rsid w:val="00C46041"/>
    <w:rsid w:val="00C52638"/>
    <w:rsid w:val="00C52E5C"/>
    <w:rsid w:val="00C8270C"/>
    <w:rsid w:val="00C9188B"/>
    <w:rsid w:val="00C93332"/>
    <w:rsid w:val="00C9447A"/>
    <w:rsid w:val="00C97953"/>
    <w:rsid w:val="00CE7F2C"/>
    <w:rsid w:val="00CF4CA3"/>
    <w:rsid w:val="00D11070"/>
    <w:rsid w:val="00D12B93"/>
    <w:rsid w:val="00D17677"/>
    <w:rsid w:val="00D33268"/>
    <w:rsid w:val="00D43127"/>
    <w:rsid w:val="00D97373"/>
    <w:rsid w:val="00DA47B8"/>
    <w:rsid w:val="00DB11A8"/>
    <w:rsid w:val="00DB5F0B"/>
    <w:rsid w:val="00DC2DA8"/>
    <w:rsid w:val="00DC38E0"/>
    <w:rsid w:val="00DE4A46"/>
    <w:rsid w:val="00DF4135"/>
    <w:rsid w:val="00E53B6D"/>
    <w:rsid w:val="00E621D7"/>
    <w:rsid w:val="00E6679B"/>
    <w:rsid w:val="00E7085C"/>
    <w:rsid w:val="00E8233F"/>
    <w:rsid w:val="00E947EA"/>
    <w:rsid w:val="00E967F0"/>
    <w:rsid w:val="00EC537D"/>
    <w:rsid w:val="00EE4962"/>
    <w:rsid w:val="00EF605F"/>
    <w:rsid w:val="00F15725"/>
    <w:rsid w:val="00F27F3A"/>
    <w:rsid w:val="00F30E06"/>
    <w:rsid w:val="00F33B4C"/>
    <w:rsid w:val="00F43179"/>
    <w:rsid w:val="00F46D4A"/>
    <w:rsid w:val="00F47971"/>
    <w:rsid w:val="00F57945"/>
    <w:rsid w:val="00F708E4"/>
    <w:rsid w:val="00F73810"/>
    <w:rsid w:val="00F772BB"/>
    <w:rsid w:val="00F9691F"/>
    <w:rsid w:val="00FA51E2"/>
    <w:rsid w:val="00FB3029"/>
    <w:rsid w:val="00FC5252"/>
    <w:rsid w:val="00FE0DB4"/>
    <w:rsid w:val="00FF3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C2E6F"/>
  <w15:chartTrackingRefBased/>
  <w15:docId w15:val="{4FCD2F0E-5E57-BC4D-B117-F4542A0B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DED"/>
    <w:pPr>
      <w:jc w:val="both"/>
    </w:pPr>
    <w:rPr>
      <w:sz w:val="22"/>
    </w:rPr>
  </w:style>
  <w:style w:type="paragraph" w:styleId="Heading1">
    <w:name w:val="heading 1"/>
    <w:basedOn w:val="Normal"/>
    <w:next w:val="Normal"/>
    <w:link w:val="Heading1Char"/>
    <w:uiPriority w:val="9"/>
    <w:qFormat/>
    <w:rsid w:val="00297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956"/>
    <w:rPr>
      <w:rFonts w:eastAsiaTheme="majorEastAsia" w:cstheme="majorBidi"/>
      <w:color w:val="272727" w:themeColor="text1" w:themeTint="D8"/>
    </w:rPr>
  </w:style>
  <w:style w:type="paragraph" w:styleId="Title">
    <w:name w:val="Title"/>
    <w:basedOn w:val="Normal"/>
    <w:next w:val="Normal"/>
    <w:link w:val="TitleChar"/>
    <w:uiPriority w:val="10"/>
    <w:qFormat/>
    <w:rsid w:val="00297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956"/>
    <w:pPr>
      <w:spacing w:before="160"/>
      <w:jc w:val="center"/>
    </w:pPr>
    <w:rPr>
      <w:i/>
      <w:iCs/>
      <w:color w:val="404040" w:themeColor="text1" w:themeTint="BF"/>
    </w:rPr>
  </w:style>
  <w:style w:type="character" w:customStyle="1" w:styleId="QuoteChar">
    <w:name w:val="Quote Char"/>
    <w:basedOn w:val="DefaultParagraphFont"/>
    <w:link w:val="Quote"/>
    <w:uiPriority w:val="29"/>
    <w:rsid w:val="00297956"/>
    <w:rPr>
      <w:i/>
      <w:iCs/>
      <w:color w:val="404040" w:themeColor="text1" w:themeTint="BF"/>
    </w:rPr>
  </w:style>
  <w:style w:type="paragraph" w:styleId="ListParagraph">
    <w:name w:val="List Paragraph"/>
    <w:basedOn w:val="Normal"/>
    <w:uiPriority w:val="34"/>
    <w:qFormat/>
    <w:rsid w:val="00297956"/>
    <w:pPr>
      <w:ind w:left="720"/>
      <w:contextualSpacing/>
    </w:pPr>
  </w:style>
  <w:style w:type="character" w:styleId="IntenseEmphasis">
    <w:name w:val="Intense Emphasis"/>
    <w:basedOn w:val="DefaultParagraphFont"/>
    <w:uiPriority w:val="21"/>
    <w:qFormat/>
    <w:rsid w:val="00297956"/>
    <w:rPr>
      <w:i/>
      <w:iCs/>
      <w:color w:val="0F4761" w:themeColor="accent1" w:themeShade="BF"/>
    </w:rPr>
  </w:style>
  <w:style w:type="paragraph" w:styleId="IntenseQuote">
    <w:name w:val="Intense Quote"/>
    <w:basedOn w:val="Normal"/>
    <w:next w:val="Normal"/>
    <w:link w:val="IntenseQuoteChar"/>
    <w:uiPriority w:val="30"/>
    <w:qFormat/>
    <w:rsid w:val="00297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956"/>
    <w:rPr>
      <w:i/>
      <w:iCs/>
      <w:color w:val="0F4761" w:themeColor="accent1" w:themeShade="BF"/>
    </w:rPr>
  </w:style>
  <w:style w:type="character" w:styleId="IntenseReference">
    <w:name w:val="Intense Reference"/>
    <w:basedOn w:val="DefaultParagraphFont"/>
    <w:uiPriority w:val="32"/>
    <w:qFormat/>
    <w:rsid w:val="00297956"/>
    <w:rPr>
      <w:b/>
      <w:bCs/>
      <w:smallCaps/>
      <w:color w:val="0F4761" w:themeColor="accent1" w:themeShade="BF"/>
      <w:spacing w:val="5"/>
    </w:rPr>
  </w:style>
  <w:style w:type="paragraph" w:customStyle="1" w:styleId="ms-outlook-mobile-reference-message">
    <w:name w:val="ms-outlook-mobile-reference-message"/>
    <w:basedOn w:val="Normal"/>
    <w:rsid w:val="002979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97956"/>
  </w:style>
  <w:style w:type="paragraph" w:styleId="Header">
    <w:name w:val="header"/>
    <w:basedOn w:val="Normal"/>
    <w:link w:val="HeaderChar"/>
    <w:uiPriority w:val="99"/>
    <w:unhideWhenUsed/>
    <w:rsid w:val="005927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720"/>
    <w:rPr>
      <w:sz w:val="22"/>
    </w:rPr>
  </w:style>
  <w:style w:type="paragraph" w:styleId="Footer">
    <w:name w:val="footer"/>
    <w:basedOn w:val="Normal"/>
    <w:link w:val="FooterChar"/>
    <w:uiPriority w:val="99"/>
    <w:unhideWhenUsed/>
    <w:rsid w:val="005927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720"/>
    <w:rPr>
      <w:sz w:val="22"/>
    </w:rPr>
  </w:style>
  <w:style w:type="character" w:styleId="PageNumber">
    <w:name w:val="page number"/>
    <w:basedOn w:val="DefaultParagraphFont"/>
    <w:uiPriority w:val="99"/>
    <w:semiHidden/>
    <w:unhideWhenUsed/>
    <w:rsid w:val="00592720"/>
  </w:style>
  <w:style w:type="character" w:styleId="Hyperlink">
    <w:name w:val="Hyperlink"/>
    <w:basedOn w:val="DefaultParagraphFont"/>
    <w:uiPriority w:val="99"/>
    <w:unhideWhenUsed/>
    <w:rsid w:val="007C2846"/>
    <w:rPr>
      <w:color w:val="467886" w:themeColor="hyperlink"/>
      <w:u w:val="single"/>
    </w:rPr>
  </w:style>
  <w:style w:type="character" w:styleId="UnresolvedMention">
    <w:name w:val="Unresolved Mention"/>
    <w:basedOn w:val="DefaultParagraphFont"/>
    <w:uiPriority w:val="99"/>
    <w:semiHidden/>
    <w:unhideWhenUsed/>
    <w:rsid w:val="007C2846"/>
    <w:rPr>
      <w:color w:val="605E5C"/>
      <w:shd w:val="clear" w:color="auto" w:fill="E1DFDD"/>
    </w:rPr>
  </w:style>
  <w:style w:type="paragraph" w:styleId="Revision">
    <w:name w:val="Revision"/>
    <w:hidden/>
    <w:uiPriority w:val="99"/>
    <w:semiHidden/>
    <w:rsid w:val="007D4A34"/>
    <w:pPr>
      <w:spacing w:after="0" w:line="240" w:lineRule="auto"/>
    </w:pPr>
    <w:rPr>
      <w:sz w:val="22"/>
    </w:rPr>
  </w:style>
  <w:style w:type="character" w:styleId="CommentReference">
    <w:name w:val="annotation reference"/>
    <w:basedOn w:val="DefaultParagraphFont"/>
    <w:uiPriority w:val="99"/>
    <w:semiHidden/>
    <w:unhideWhenUsed/>
    <w:rsid w:val="007D4A34"/>
    <w:rPr>
      <w:sz w:val="16"/>
      <w:szCs w:val="16"/>
    </w:rPr>
  </w:style>
  <w:style w:type="paragraph" w:styleId="CommentText">
    <w:name w:val="annotation text"/>
    <w:basedOn w:val="Normal"/>
    <w:link w:val="CommentTextChar"/>
    <w:uiPriority w:val="99"/>
    <w:unhideWhenUsed/>
    <w:rsid w:val="007D4A34"/>
    <w:pPr>
      <w:spacing w:line="240" w:lineRule="auto"/>
    </w:pPr>
    <w:rPr>
      <w:sz w:val="20"/>
      <w:szCs w:val="20"/>
    </w:rPr>
  </w:style>
  <w:style w:type="character" w:customStyle="1" w:styleId="CommentTextChar">
    <w:name w:val="Comment Text Char"/>
    <w:basedOn w:val="DefaultParagraphFont"/>
    <w:link w:val="CommentText"/>
    <w:uiPriority w:val="99"/>
    <w:rsid w:val="007D4A34"/>
    <w:rPr>
      <w:sz w:val="20"/>
      <w:szCs w:val="20"/>
    </w:rPr>
  </w:style>
  <w:style w:type="paragraph" w:styleId="CommentSubject">
    <w:name w:val="annotation subject"/>
    <w:basedOn w:val="CommentText"/>
    <w:next w:val="CommentText"/>
    <w:link w:val="CommentSubjectChar"/>
    <w:uiPriority w:val="99"/>
    <w:semiHidden/>
    <w:unhideWhenUsed/>
    <w:rsid w:val="007D4A34"/>
    <w:rPr>
      <w:b/>
      <w:bCs/>
    </w:rPr>
  </w:style>
  <w:style w:type="character" w:customStyle="1" w:styleId="CommentSubjectChar">
    <w:name w:val="Comment Subject Char"/>
    <w:basedOn w:val="CommentTextChar"/>
    <w:link w:val="CommentSubject"/>
    <w:uiPriority w:val="99"/>
    <w:semiHidden/>
    <w:rsid w:val="007D4A34"/>
    <w:rPr>
      <w:b/>
      <w:bCs/>
      <w:sz w:val="20"/>
      <w:szCs w:val="20"/>
    </w:rPr>
  </w:style>
  <w:style w:type="paragraph" w:styleId="Bibliography">
    <w:name w:val="Bibliography"/>
    <w:basedOn w:val="Normal"/>
    <w:next w:val="Normal"/>
    <w:uiPriority w:val="37"/>
    <w:unhideWhenUsed/>
    <w:rsid w:val="00304E1F"/>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horizon-europe.gouv.fr/open-topic-reinvigorating-and-shielding-european-democracy-4285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5240</Words>
  <Characters>29868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Koenig, P.D. (Pascal)</dc:creator>
  <cp:keywords/>
  <dc:description/>
  <cp:lastModifiedBy>Seraphine Maerz</cp:lastModifiedBy>
  <cp:revision>2</cp:revision>
  <dcterms:created xsi:type="dcterms:W3CDTF">2026-10-29T22:05:00Z</dcterms:created>
  <dcterms:modified xsi:type="dcterms:W3CDTF">2026-10-29T22:05:00Z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id="8uLqsfuY"/&gt;&lt;style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