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C2135"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Dear Seraphine (and Constanza and Max),</w:t>
      </w:r>
    </w:p>
    <w:p w14:paraId="28E2E338"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2333A394"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I read the concept note and draft WP structure with much interest — thank you for all the work you’ve already done on this. As requested, here below are some initial thoughts from me, summarizing the main ideas that came to mind as I was reading these documents. Given that we’re still in a dynamic phase, I thought it would be easiest to write these up discursively, but happy to work directly on a doc with comments/edits too, if you’d find that helpful.</w:t>
      </w:r>
    </w:p>
    <w:p w14:paraId="0F171C24"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049F4D79"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I very much liked the overall theoretical framework of informational autonomy, integrity, and accountability, which makes a lot of sense and provides a strong foundation for the project.</w:t>
      </w:r>
    </w:p>
    <w:p w14:paraId="6E6BDDDE"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3B2B6F5B"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One theme that cuts across all the components of the framework is the issue of</w:t>
      </w:r>
      <w:r>
        <w:rPr>
          <w:rStyle w:val="apple-converted-space"/>
          <w:rFonts w:ascii="Helvetica Neue" w:hAnsi="Helvetica Neue"/>
          <w:color w:val="212121"/>
          <w:sz w:val="20"/>
          <w:szCs w:val="20"/>
        </w:rPr>
        <w:t> </w:t>
      </w:r>
      <w:r>
        <w:rPr>
          <w:rFonts w:ascii="Helvetica Neue" w:hAnsi="Helvetica Neue"/>
          <w:b/>
          <w:bCs/>
          <w:color w:val="212121"/>
          <w:sz w:val="20"/>
          <w:szCs w:val="20"/>
        </w:rPr>
        <w:t>uneven digital competences</w:t>
      </w:r>
      <w:r>
        <w:rPr>
          <w:rStyle w:val="apple-converted-space"/>
          <w:rFonts w:ascii="Helvetica Neue" w:hAnsi="Helvetica Neue"/>
          <w:color w:val="212121"/>
          <w:sz w:val="20"/>
          <w:szCs w:val="20"/>
        </w:rPr>
        <w:t> </w:t>
      </w:r>
      <w:r>
        <w:rPr>
          <w:rFonts w:ascii="Helvetica Neue" w:hAnsi="Helvetica Neue"/>
          <w:color w:val="212121"/>
          <w:sz w:val="20"/>
          <w:szCs w:val="20"/>
        </w:rPr>
        <w:t xml:space="preserve">and, more specifically, AI competences (which could come under the theoretical umbrella of second level digital divide and/or digital inclusion — there are different nuances to this, depending on what we think it’d be important to emphasize). This applies of course both within countries (especially </w:t>
      </w:r>
      <w:proofErr w:type="gramStart"/>
      <w:r>
        <w:rPr>
          <w:rFonts w:ascii="Helvetica Neue" w:hAnsi="Helvetica Neue"/>
          <w:color w:val="212121"/>
          <w:sz w:val="20"/>
          <w:szCs w:val="20"/>
        </w:rPr>
        <w:t>with regard to</w:t>
      </w:r>
      <w:proofErr w:type="gramEnd"/>
      <w:r>
        <w:rPr>
          <w:rFonts w:ascii="Helvetica Neue" w:hAnsi="Helvetica Neue"/>
          <w:color w:val="212121"/>
          <w:sz w:val="20"/>
          <w:szCs w:val="20"/>
        </w:rPr>
        <w:t xml:space="preserve"> traditionally disadvantaged groups - given my expertise, I’m thinking of disabled people but, of course, many others too - and between different countries with significant differences across the EU.</w:t>
      </w:r>
    </w:p>
    <w:p w14:paraId="0C5BCA82"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3874858A"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This issue is directly related to the most recent edition of the</w:t>
      </w:r>
      <w:r>
        <w:rPr>
          <w:rStyle w:val="apple-converted-space"/>
          <w:rFonts w:ascii="Helvetica Neue" w:hAnsi="Helvetica Neue"/>
          <w:color w:val="212121"/>
          <w:sz w:val="20"/>
          <w:szCs w:val="20"/>
        </w:rPr>
        <w:t> </w:t>
      </w:r>
      <w:r>
        <w:rPr>
          <w:rFonts w:ascii="Helvetica Neue" w:hAnsi="Helvetica Neue"/>
          <w:b/>
          <w:bCs/>
          <w:color w:val="212121"/>
          <w:sz w:val="20"/>
          <w:szCs w:val="20"/>
        </w:rPr>
        <w:t xml:space="preserve">EU’s Digital Competence Framework — </w:t>
      </w:r>
      <w:proofErr w:type="spellStart"/>
      <w:r>
        <w:rPr>
          <w:rFonts w:ascii="Helvetica Neue" w:hAnsi="Helvetica Neue"/>
          <w:b/>
          <w:bCs/>
          <w:color w:val="212121"/>
          <w:sz w:val="20"/>
          <w:szCs w:val="20"/>
        </w:rPr>
        <w:t>DigComp</w:t>
      </w:r>
      <w:proofErr w:type="spellEnd"/>
      <w:r>
        <w:rPr>
          <w:rFonts w:ascii="Helvetica Neue" w:hAnsi="Helvetica Neue"/>
          <w:b/>
          <w:bCs/>
          <w:color w:val="212121"/>
          <w:sz w:val="20"/>
          <w:szCs w:val="20"/>
        </w:rPr>
        <w:t xml:space="preserve"> 3.0</w:t>
      </w:r>
      <w:r>
        <w:rPr>
          <w:rFonts w:ascii="Helvetica Neue" w:hAnsi="Helvetica Neue"/>
          <w:color w:val="212121"/>
          <w:sz w:val="20"/>
          <w:szCs w:val="20"/>
        </w:rPr>
        <w:t>, which was released at the end of last year and integrates specific competence indicators related to explicit as well as implicit AI uses. The EU Commission has more information</w:t>
      </w:r>
      <w:r>
        <w:rPr>
          <w:rStyle w:val="apple-converted-space"/>
          <w:rFonts w:ascii="Helvetica Neue" w:hAnsi="Helvetica Neue"/>
          <w:color w:val="212121"/>
          <w:sz w:val="20"/>
          <w:szCs w:val="20"/>
        </w:rPr>
        <w:t> </w:t>
      </w:r>
      <w:hyperlink r:id="rId4" w:tooltip="https://url.au.m.mimecastprotect.com/s/iakyCgZolKFYGnEW4INfkLs4z5Kb?domain=joint-research-centre.ec.europa.eu" w:history="1">
        <w:r>
          <w:rPr>
            <w:rStyle w:val="Hyperlink"/>
            <w:rFonts w:ascii="Helvetica Neue" w:hAnsi="Helvetica Neue"/>
            <w:sz w:val="20"/>
            <w:szCs w:val="20"/>
          </w:rPr>
          <w:t>here</w:t>
        </w:r>
      </w:hyperlink>
      <w:r>
        <w:rPr>
          <w:rStyle w:val="apple-converted-space"/>
          <w:rFonts w:ascii="Helvetica Neue" w:hAnsi="Helvetica Neue"/>
          <w:color w:val="212121"/>
          <w:sz w:val="20"/>
          <w:szCs w:val="20"/>
        </w:rPr>
        <w:t> </w:t>
      </w:r>
      <w:r>
        <w:rPr>
          <w:rFonts w:ascii="Helvetica Neue" w:hAnsi="Helvetica Neue"/>
          <w:color w:val="212121"/>
          <w:sz w:val="20"/>
          <w:szCs w:val="20"/>
        </w:rPr>
        <w:t>and the framework document is available to download</w:t>
      </w:r>
      <w:r>
        <w:rPr>
          <w:rStyle w:val="apple-converted-space"/>
          <w:rFonts w:ascii="Helvetica Neue" w:hAnsi="Helvetica Neue"/>
          <w:color w:val="212121"/>
          <w:sz w:val="20"/>
          <w:szCs w:val="20"/>
        </w:rPr>
        <w:t> </w:t>
      </w:r>
      <w:hyperlink r:id="rId5" w:tooltip="https://url.au.m.mimecastprotect.com/s/Vf0VCjZroMFyRkoJZcRhA5smjPMQ?domain=publications.jrc.ec.europa.eu" w:history="1">
        <w:r>
          <w:rPr>
            <w:rStyle w:val="Hyperlink"/>
            <w:rFonts w:ascii="Helvetica Neue" w:hAnsi="Helvetica Neue"/>
            <w:sz w:val="20"/>
            <w:szCs w:val="20"/>
          </w:rPr>
          <w:t>here</w:t>
        </w:r>
      </w:hyperlink>
      <w:r>
        <w:rPr>
          <w:rFonts w:ascii="Helvetica Neue" w:hAnsi="Helvetica Neue"/>
          <w:color w:val="212121"/>
          <w:sz w:val="20"/>
          <w:szCs w:val="20"/>
        </w:rPr>
        <w:t xml:space="preserve">. There are several places where this framework could be referenced and/or the project could lean onto it, I’m thinking specifically of WPs 2, 5, and 6 as currently conceived, but this is likely relevant in other places too. There are, of course, other AI competence frameworks developed by other organizations (e.g. the OECD, etc.), but this one has the benefit of being one of the </w:t>
      </w:r>
      <w:proofErr w:type="spellStart"/>
      <w:r>
        <w:rPr>
          <w:rFonts w:ascii="Helvetica Neue" w:hAnsi="Helvetica Neue"/>
          <w:color w:val="212121"/>
          <w:sz w:val="20"/>
          <w:szCs w:val="20"/>
        </w:rPr>
        <w:t>centerpieces</w:t>
      </w:r>
      <w:proofErr w:type="spellEnd"/>
      <w:r>
        <w:rPr>
          <w:rFonts w:ascii="Helvetica Neue" w:hAnsi="Helvetica Neue"/>
          <w:color w:val="212121"/>
          <w:sz w:val="20"/>
          <w:szCs w:val="20"/>
        </w:rPr>
        <w:t xml:space="preserve"> of the EU’s digital inclusion work.</w:t>
      </w:r>
    </w:p>
    <w:p w14:paraId="6933CE54"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037F6C7F"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 xml:space="preserve">Also, a bit of an aside but related to various WPs, especially WP2, in case you didn’t see it already I wanted to flag recent work by the Wesleyan Media Project on the 2026 U.S. Midterms tracking and </w:t>
      </w:r>
      <w:proofErr w:type="spellStart"/>
      <w:r>
        <w:rPr>
          <w:rFonts w:ascii="Helvetica Neue" w:hAnsi="Helvetica Neue"/>
          <w:color w:val="212121"/>
          <w:sz w:val="20"/>
          <w:szCs w:val="20"/>
        </w:rPr>
        <w:t>analyzing</w:t>
      </w:r>
      <w:proofErr w:type="spellEnd"/>
      <w:r>
        <w:rPr>
          <w:rFonts w:ascii="Helvetica Neue" w:hAnsi="Helvetica Neue"/>
          <w:color w:val="212121"/>
          <w:sz w:val="20"/>
          <w:szCs w:val="20"/>
        </w:rPr>
        <w:t xml:space="preserve"> AI-generated and deepfake campaign ads — their method for identifying relevant content, though obviously perfectible, provides a useful framework. More information here (one key finding is that Republicans, perhaps unsurprisingly, are spending a lot more than Democrats and independents on these tactics):</w:t>
      </w:r>
      <w:r>
        <w:rPr>
          <w:rStyle w:val="apple-converted-space"/>
          <w:rFonts w:ascii="Helvetica Neue" w:hAnsi="Helvetica Neue"/>
          <w:color w:val="212121"/>
          <w:sz w:val="20"/>
          <w:szCs w:val="20"/>
        </w:rPr>
        <w:t> </w:t>
      </w:r>
      <w:hyperlink r:id="rId6" w:tooltip="https://url.au.m.mimecastprotect.com/s/DF5mCk8vpKsq5Z20osQinpsGMPLk?domain=mediaproject.wesleyan.edu" w:history="1">
        <w:r>
          <w:rPr>
            <w:rStyle w:val="Hyperlink"/>
            <w:rFonts w:ascii="Helvetica Neue" w:hAnsi="Helvetica Neue"/>
            <w:sz w:val="20"/>
            <w:szCs w:val="20"/>
          </w:rPr>
          <w:t>https://mediaproject.wesleyan.edu/releases-090426/</w:t>
        </w:r>
      </w:hyperlink>
    </w:p>
    <w:p w14:paraId="4A7200E7"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129983AC"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Another aspect of the developing proposal that I found especially interesting is the reflection on how AI could enhance or further complicate</w:t>
      </w:r>
      <w:r>
        <w:rPr>
          <w:rStyle w:val="apple-converted-space"/>
          <w:rFonts w:ascii="Helvetica Neue" w:hAnsi="Helvetica Neue"/>
          <w:color w:val="212121"/>
          <w:sz w:val="20"/>
          <w:szCs w:val="20"/>
        </w:rPr>
        <w:t> </w:t>
      </w:r>
      <w:r>
        <w:rPr>
          <w:rFonts w:ascii="Helvetica Neue" w:hAnsi="Helvetica Neue"/>
          <w:b/>
          <w:bCs/>
          <w:color w:val="212121"/>
          <w:sz w:val="20"/>
          <w:szCs w:val="20"/>
        </w:rPr>
        <w:t>participation in policy- and decision-making</w:t>
      </w:r>
      <w:r>
        <w:rPr>
          <w:rStyle w:val="apple-converted-space"/>
          <w:rFonts w:ascii="Helvetica Neue" w:hAnsi="Helvetica Neue"/>
          <w:color w:val="212121"/>
          <w:sz w:val="20"/>
          <w:szCs w:val="20"/>
        </w:rPr>
        <w:t> </w:t>
      </w:r>
      <w:r>
        <w:rPr>
          <w:rFonts w:ascii="Helvetica Neue" w:hAnsi="Helvetica Neue"/>
          <w:color w:val="212121"/>
          <w:sz w:val="20"/>
          <w:szCs w:val="20"/>
        </w:rPr>
        <w:t xml:space="preserve">for traditionally under-represented groups — my recent work on technology and storytelling in policy advocacy relates to this, and I continue to be interested in how technologies influence whose voices are or aren’t heard in these processes. Specifically, it would be interesting to explore the significance of AI systems for the incorporation of non-traditional forms of evidence, including life experience, in policy processes. Some colleagues I’m in contact </w:t>
      </w:r>
      <w:proofErr w:type="gramStart"/>
      <w:r>
        <w:rPr>
          <w:rFonts w:ascii="Helvetica Neue" w:hAnsi="Helvetica Neue"/>
          <w:color w:val="212121"/>
          <w:sz w:val="20"/>
          <w:szCs w:val="20"/>
        </w:rPr>
        <w:t>with in</w:t>
      </w:r>
      <w:proofErr w:type="gramEnd"/>
      <w:r>
        <w:rPr>
          <w:rFonts w:ascii="Helvetica Neue" w:hAnsi="Helvetica Neue"/>
          <w:color w:val="212121"/>
          <w:sz w:val="20"/>
          <w:szCs w:val="20"/>
        </w:rPr>
        <w:t xml:space="preserve"> Austria and Portugal have an on-going Horizon project that has been looking into</w:t>
      </w:r>
      <w:r>
        <w:rPr>
          <w:rStyle w:val="apple-converted-space"/>
          <w:rFonts w:ascii="Helvetica Neue" w:hAnsi="Helvetica Neue"/>
          <w:color w:val="212121"/>
          <w:sz w:val="20"/>
          <w:szCs w:val="20"/>
        </w:rPr>
        <w:t> </w:t>
      </w:r>
      <w:hyperlink r:id="rId7" w:tooltip="https://url.au.m.mimecastprotect.com/s/VLDPClxwqLczXDRK6FqsMlsz_ezn?domain=responsive-europe.eu" w:history="1">
        <w:r>
          <w:rPr>
            <w:rStyle w:val="Hyperlink"/>
            <w:rFonts w:ascii="Helvetica Neue" w:hAnsi="Helvetica Neue"/>
            <w:sz w:val="20"/>
            <w:szCs w:val="20"/>
          </w:rPr>
          <w:t>government responsiveness</w:t>
        </w:r>
      </w:hyperlink>
      <w:r>
        <w:rPr>
          <w:rStyle w:val="apple-converted-space"/>
          <w:rFonts w:ascii="Helvetica Neue" w:hAnsi="Helvetica Neue"/>
          <w:color w:val="212121"/>
          <w:sz w:val="20"/>
          <w:szCs w:val="20"/>
        </w:rPr>
        <w:t> </w:t>
      </w:r>
      <w:r>
        <w:rPr>
          <w:rFonts w:ascii="Helvetica Neue" w:hAnsi="Helvetica Neue"/>
          <w:color w:val="212121"/>
          <w:sz w:val="20"/>
          <w:szCs w:val="20"/>
        </w:rPr>
        <w:t xml:space="preserve">to marginalized citizen’s concerns. Although their work is </w:t>
      </w:r>
      <w:proofErr w:type="spellStart"/>
      <w:r>
        <w:rPr>
          <w:rFonts w:ascii="Helvetica Neue" w:hAnsi="Helvetica Neue"/>
          <w:color w:val="212121"/>
          <w:sz w:val="20"/>
          <w:szCs w:val="20"/>
        </w:rPr>
        <w:t>centered</w:t>
      </w:r>
      <w:proofErr w:type="spellEnd"/>
      <w:r>
        <w:rPr>
          <w:rFonts w:ascii="Helvetica Neue" w:hAnsi="Helvetica Neue"/>
          <w:color w:val="212121"/>
          <w:sz w:val="20"/>
          <w:szCs w:val="20"/>
        </w:rPr>
        <w:t xml:space="preserve"> on social policy and hasn’t focused on AI, the responsive government frameworks they’ve created could inform the parts of our own project focusing on participation and accountability for democratic resilience.</w:t>
      </w:r>
    </w:p>
    <w:p w14:paraId="265D2A96"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5F3792CF" w14:textId="77777777" w:rsidR="00871506" w:rsidRDefault="00871506" w:rsidP="00871506">
      <w:pPr>
        <w:pStyle w:val="NormalWeb"/>
        <w:spacing w:before="0" w:beforeAutospacing="0" w:after="0" w:afterAutospacing="0"/>
        <w:rPr>
          <w:rFonts w:ascii="Helvetica Neue" w:hAnsi="Helvetica Neue"/>
          <w:color w:val="212121"/>
          <w:sz w:val="20"/>
          <w:szCs w:val="20"/>
        </w:rPr>
      </w:pPr>
      <w:proofErr w:type="gramStart"/>
      <w:r>
        <w:rPr>
          <w:rFonts w:ascii="Helvetica Neue" w:hAnsi="Helvetica Neue"/>
          <w:color w:val="212121"/>
          <w:sz w:val="20"/>
          <w:szCs w:val="20"/>
        </w:rPr>
        <w:t>With regard to</w:t>
      </w:r>
      <w:proofErr w:type="gramEnd"/>
      <w:r>
        <w:rPr>
          <w:rFonts w:ascii="Helvetica Neue" w:hAnsi="Helvetica Neue"/>
          <w:color w:val="212121"/>
          <w:sz w:val="20"/>
          <w:szCs w:val="20"/>
        </w:rPr>
        <w:t xml:space="preserve"> connections with</w:t>
      </w:r>
      <w:r>
        <w:rPr>
          <w:rStyle w:val="apple-converted-space"/>
          <w:rFonts w:ascii="Helvetica Neue" w:hAnsi="Helvetica Neue"/>
          <w:color w:val="212121"/>
          <w:sz w:val="20"/>
          <w:szCs w:val="20"/>
        </w:rPr>
        <w:t> </w:t>
      </w:r>
      <w:r>
        <w:rPr>
          <w:rFonts w:ascii="Helvetica Neue" w:hAnsi="Helvetica Neue"/>
          <w:b/>
          <w:bCs/>
          <w:color w:val="212121"/>
          <w:sz w:val="20"/>
          <w:szCs w:val="20"/>
        </w:rPr>
        <w:t>Italian schools</w:t>
      </w:r>
      <w:r>
        <w:rPr>
          <w:rFonts w:ascii="Helvetica Neue" w:hAnsi="Helvetica Neue"/>
          <w:color w:val="212121"/>
          <w:sz w:val="20"/>
          <w:szCs w:val="20"/>
        </w:rPr>
        <w:t>, as I mentioned in a previous message, my university has a good relationship with the Italian Ministry of Education’s Institute for Education and Pedagogical Research, which was among our founding institutions. The Institute has deep links with a vast network of public schools around the country and, depending on our project’s needs, we may be able to collaborate to leverage these connections for data collection, as well as to pilot interventions and tools - WP6 may be an especially good place for this. As a government research institute, their approach can be a bit different from that of a university and partnerships can require a fine balance, but I believe they could be quite interested in a project exploring the nexus of AI, democratic resilience and Youth and it would be worth exploring this path.</w:t>
      </w:r>
    </w:p>
    <w:p w14:paraId="7207F2A0"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35F3E5C0" w14:textId="77777777" w:rsidR="00871506" w:rsidRDefault="00871506" w:rsidP="00871506">
      <w:pPr>
        <w:pStyle w:val="NormalWeb"/>
        <w:spacing w:before="0" w:beforeAutospacing="0" w:after="0" w:afterAutospacing="0"/>
        <w:rPr>
          <w:rFonts w:ascii="Helvetica Neue" w:hAnsi="Helvetica Neue"/>
          <w:color w:val="212121"/>
          <w:sz w:val="20"/>
          <w:szCs w:val="20"/>
        </w:rPr>
      </w:pPr>
      <w:proofErr w:type="gramStart"/>
      <w:r>
        <w:rPr>
          <w:rFonts w:ascii="Helvetica Neue" w:hAnsi="Helvetica Neue"/>
          <w:color w:val="212121"/>
          <w:sz w:val="20"/>
          <w:szCs w:val="20"/>
        </w:rPr>
        <w:lastRenderedPageBreak/>
        <w:t>With regard to</w:t>
      </w:r>
      <w:proofErr w:type="gramEnd"/>
      <w:r>
        <w:rPr>
          <w:rFonts w:ascii="Helvetica Neue" w:hAnsi="Helvetica Neue"/>
          <w:color w:val="212121"/>
          <w:sz w:val="20"/>
          <w:szCs w:val="20"/>
        </w:rPr>
        <w:t xml:space="preserve"> roles and the team, given my expertise in both campaigns and marginalized groups, WP2 would be a good place to contribute and working with Andrea and Ken would bring about some useful complementarity. I’d also be interested in collaborating on WPs 5, 6, and 7 (5 and 7 seem especially innovative, and all of them have nice complementarity with WP2).</w:t>
      </w:r>
    </w:p>
    <w:p w14:paraId="68C1D9BA"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6FCAB2BF"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 xml:space="preserve">A great colleague who’s also interested in doing work on “listening” governments and alternative forms of policy </w:t>
      </w:r>
      <w:proofErr w:type="gramStart"/>
      <w:r>
        <w:rPr>
          <w:rFonts w:ascii="Helvetica Neue" w:hAnsi="Helvetica Neue"/>
          <w:color w:val="212121"/>
          <w:sz w:val="20"/>
          <w:szCs w:val="20"/>
        </w:rPr>
        <w:t>evidence, and</w:t>
      </w:r>
      <w:proofErr w:type="gramEnd"/>
      <w:r>
        <w:rPr>
          <w:rFonts w:ascii="Helvetica Neue" w:hAnsi="Helvetica Neue"/>
          <w:color w:val="212121"/>
          <w:sz w:val="20"/>
          <w:szCs w:val="20"/>
        </w:rPr>
        <w:t xml:space="preserve"> may be interested in being involved in some way if that is a thread we decide to pursue is</w:t>
      </w:r>
      <w:r>
        <w:rPr>
          <w:rStyle w:val="apple-converted-space"/>
          <w:rFonts w:ascii="Helvetica Neue" w:hAnsi="Helvetica Neue"/>
          <w:color w:val="212121"/>
          <w:sz w:val="20"/>
          <w:szCs w:val="20"/>
        </w:rPr>
        <w:t> </w:t>
      </w:r>
      <w:hyperlink r:id="rId8" w:tooltip="https://url.au.m.mimecastprotect.com/s/yf2qCmOxr6sRWGyYkSQt89sRPBxl?domain=gla.ac.uk" w:history="1">
        <w:r>
          <w:rPr>
            <w:rStyle w:val="Hyperlink"/>
            <w:rFonts w:ascii="Helvetica Neue" w:hAnsi="Helvetica Neue"/>
            <w:sz w:val="20"/>
            <w:szCs w:val="20"/>
          </w:rPr>
          <w:t xml:space="preserve">Ariadne </w:t>
        </w:r>
        <w:proofErr w:type="spellStart"/>
        <w:r>
          <w:rPr>
            <w:rStyle w:val="Hyperlink"/>
            <w:rFonts w:ascii="Helvetica Neue" w:hAnsi="Helvetica Neue"/>
            <w:sz w:val="20"/>
            <w:szCs w:val="20"/>
          </w:rPr>
          <w:t>Vromen</w:t>
        </w:r>
        <w:proofErr w:type="spellEnd"/>
      </w:hyperlink>
      <w:r>
        <w:rPr>
          <w:rStyle w:val="apple-converted-space"/>
          <w:rFonts w:ascii="Helvetica Neue" w:hAnsi="Helvetica Neue"/>
          <w:color w:val="212121"/>
          <w:sz w:val="20"/>
          <w:szCs w:val="20"/>
        </w:rPr>
        <w:t> </w:t>
      </w:r>
      <w:r>
        <w:rPr>
          <w:rFonts w:ascii="Helvetica Neue" w:hAnsi="Helvetica Neue"/>
          <w:color w:val="212121"/>
          <w:sz w:val="20"/>
          <w:szCs w:val="20"/>
        </w:rPr>
        <w:t>at Glasgow University. Andrea may have suggested her name already and I’m aware that the project team’s composition will also require a certain geographical balance, but I thought I should mention her because she does great work and we’ve collaborated on related research before.</w:t>
      </w:r>
    </w:p>
    <w:p w14:paraId="4E384518"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5FBF7F5C"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I also thought of another colleague in Portugal,</w:t>
      </w:r>
      <w:r>
        <w:rPr>
          <w:rStyle w:val="apple-converted-space"/>
          <w:rFonts w:ascii="Helvetica Neue" w:hAnsi="Helvetica Neue"/>
          <w:color w:val="212121"/>
          <w:sz w:val="20"/>
          <w:szCs w:val="20"/>
        </w:rPr>
        <w:t> </w:t>
      </w:r>
      <w:hyperlink r:id="rId9" w:tooltip="https://url.au.m.mimecastprotect.com/s/njn7CnxyvXc6mQ9LrIEuQ8sJCmny?domain=researchportal.ulisboa.pt" w:history="1">
        <w:r>
          <w:rPr>
            <w:rStyle w:val="Hyperlink"/>
            <w:rFonts w:ascii="Helvetica Neue" w:hAnsi="Helvetica Neue"/>
            <w:sz w:val="20"/>
            <w:szCs w:val="20"/>
          </w:rPr>
          <w:t>Sónia Pedro Sebastião</w:t>
        </w:r>
      </w:hyperlink>
      <w:r>
        <w:rPr>
          <w:rStyle w:val="apple-converted-space"/>
          <w:rFonts w:ascii="Helvetica Neue" w:hAnsi="Helvetica Neue"/>
          <w:color w:val="212121"/>
          <w:sz w:val="20"/>
          <w:szCs w:val="20"/>
        </w:rPr>
        <w:t> </w:t>
      </w:r>
      <w:r>
        <w:rPr>
          <w:rFonts w:ascii="Helvetica Neue" w:hAnsi="Helvetica Neue"/>
          <w:color w:val="212121"/>
          <w:sz w:val="20"/>
          <w:szCs w:val="20"/>
        </w:rPr>
        <w:t>at Lisbon University, who has done work on media literacy, civic participation and campaigns. She may be a good fit for WP6. She’s involved in the Responsive Horizon project I mentioned above and would add representation from Southern Europe, which I understand you’re looking to increase. Let me know if you’d like to talk further about any of these suggestions. I’ll also keep thinking and let you know if someone else comes to mind.</w:t>
      </w:r>
    </w:p>
    <w:p w14:paraId="5085DDDD"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3A9D4146"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 xml:space="preserve">I realize this became quite a long email in the </w:t>
      </w:r>
      <w:proofErr w:type="gramStart"/>
      <w:r>
        <w:rPr>
          <w:rFonts w:ascii="Helvetica Neue" w:hAnsi="Helvetica Neue"/>
          <w:color w:val="212121"/>
          <w:sz w:val="20"/>
          <w:szCs w:val="20"/>
        </w:rPr>
        <w:t>end, but</w:t>
      </w:r>
      <w:proofErr w:type="gramEnd"/>
      <w:r>
        <w:rPr>
          <w:rFonts w:ascii="Helvetica Neue" w:hAnsi="Helvetica Neue"/>
          <w:color w:val="212121"/>
          <w:sz w:val="20"/>
          <w:szCs w:val="20"/>
        </w:rPr>
        <w:t xml:space="preserve"> hope some of these initial thoughts are helpful and look forward to continuing to discuss over email and/or </w:t>
      </w:r>
      <w:proofErr w:type="gramStart"/>
      <w:r>
        <w:rPr>
          <w:rFonts w:ascii="Helvetica Neue" w:hAnsi="Helvetica Neue"/>
          <w:color w:val="212121"/>
          <w:sz w:val="20"/>
          <w:szCs w:val="20"/>
        </w:rPr>
        <w:t>Zoom</w:t>
      </w:r>
      <w:proofErr w:type="gramEnd"/>
      <w:r>
        <w:rPr>
          <w:rFonts w:ascii="Helvetica Neue" w:hAnsi="Helvetica Neue"/>
          <w:color w:val="212121"/>
          <w:sz w:val="20"/>
          <w:szCs w:val="20"/>
        </w:rPr>
        <w:t xml:space="preserve"> before we meet in Melbourne in a few weeks.</w:t>
      </w:r>
    </w:p>
    <w:p w14:paraId="3DDDFA0A"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07CE22C9"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Let me know if you anything isn’t clear and speak soon!</w:t>
      </w:r>
    </w:p>
    <w:p w14:paraId="0A1921A2" w14:textId="77777777" w:rsidR="00871506" w:rsidRDefault="00871506" w:rsidP="00871506">
      <w:pPr>
        <w:pStyle w:val="NormalWeb"/>
        <w:spacing w:before="0" w:beforeAutospacing="0" w:after="0" w:afterAutospacing="0"/>
        <w:rPr>
          <w:rFonts w:ascii="Helvetica Neue" w:hAnsi="Helvetica Neue"/>
          <w:color w:val="212121"/>
          <w:sz w:val="20"/>
          <w:szCs w:val="20"/>
        </w:rPr>
      </w:pPr>
    </w:p>
    <w:p w14:paraId="012C0891" w14:textId="77777777" w:rsidR="00871506" w:rsidRDefault="00871506" w:rsidP="00871506">
      <w:pPr>
        <w:pStyle w:val="NormalWeb"/>
        <w:spacing w:before="0" w:beforeAutospacing="0" w:after="0" w:afterAutospacing="0"/>
        <w:rPr>
          <w:rFonts w:ascii="Helvetica Neue" w:hAnsi="Helvetica Neue"/>
          <w:color w:val="212121"/>
          <w:sz w:val="20"/>
          <w:szCs w:val="20"/>
        </w:rPr>
      </w:pPr>
      <w:r>
        <w:rPr>
          <w:rFonts w:ascii="Helvetica Neue" w:hAnsi="Helvetica Neue"/>
          <w:color w:val="212121"/>
          <w:sz w:val="20"/>
          <w:szCs w:val="20"/>
        </w:rPr>
        <w:t>Filippo</w:t>
      </w:r>
    </w:p>
    <w:p w14:paraId="68591A79" w14:textId="77777777" w:rsidR="00125DEC" w:rsidRDefault="00125DEC"/>
    <w:sectPr w:rsidR="00125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06"/>
    <w:rsid w:val="00125DEC"/>
    <w:rsid w:val="00840FE0"/>
    <w:rsid w:val="00871506"/>
    <w:rsid w:val="009B2CEB"/>
    <w:rsid w:val="00AE00E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2C867C"/>
  <w15:chartTrackingRefBased/>
  <w15:docId w15:val="{2F8EE19C-49DC-4A43-BF7F-AD2F41B8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5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5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5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5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506"/>
    <w:rPr>
      <w:rFonts w:eastAsiaTheme="majorEastAsia" w:cstheme="majorBidi"/>
      <w:color w:val="272727" w:themeColor="text1" w:themeTint="D8"/>
    </w:rPr>
  </w:style>
  <w:style w:type="paragraph" w:styleId="Title">
    <w:name w:val="Title"/>
    <w:basedOn w:val="Normal"/>
    <w:next w:val="Normal"/>
    <w:link w:val="TitleChar"/>
    <w:uiPriority w:val="10"/>
    <w:qFormat/>
    <w:rsid w:val="008715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5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5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506"/>
    <w:rPr>
      <w:i/>
      <w:iCs/>
      <w:color w:val="404040" w:themeColor="text1" w:themeTint="BF"/>
    </w:rPr>
  </w:style>
  <w:style w:type="paragraph" w:styleId="ListParagraph">
    <w:name w:val="List Paragraph"/>
    <w:basedOn w:val="Normal"/>
    <w:uiPriority w:val="34"/>
    <w:qFormat/>
    <w:rsid w:val="00871506"/>
    <w:pPr>
      <w:ind w:left="720"/>
      <w:contextualSpacing/>
    </w:pPr>
  </w:style>
  <w:style w:type="character" w:styleId="IntenseEmphasis">
    <w:name w:val="Intense Emphasis"/>
    <w:basedOn w:val="DefaultParagraphFont"/>
    <w:uiPriority w:val="21"/>
    <w:qFormat/>
    <w:rsid w:val="00871506"/>
    <w:rPr>
      <w:i/>
      <w:iCs/>
      <w:color w:val="0F4761" w:themeColor="accent1" w:themeShade="BF"/>
    </w:rPr>
  </w:style>
  <w:style w:type="paragraph" w:styleId="IntenseQuote">
    <w:name w:val="Intense Quote"/>
    <w:basedOn w:val="Normal"/>
    <w:next w:val="Normal"/>
    <w:link w:val="IntenseQuoteChar"/>
    <w:uiPriority w:val="30"/>
    <w:qFormat/>
    <w:rsid w:val="00871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506"/>
    <w:rPr>
      <w:i/>
      <w:iCs/>
      <w:color w:val="0F4761" w:themeColor="accent1" w:themeShade="BF"/>
    </w:rPr>
  </w:style>
  <w:style w:type="character" w:styleId="IntenseReference">
    <w:name w:val="Intense Reference"/>
    <w:basedOn w:val="DefaultParagraphFont"/>
    <w:uiPriority w:val="32"/>
    <w:qFormat/>
    <w:rsid w:val="00871506"/>
    <w:rPr>
      <w:b/>
      <w:bCs/>
      <w:smallCaps/>
      <w:color w:val="0F4761" w:themeColor="accent1" w:themeShade="BF"/>
      <w:spacing w:val="5"/>
    </w:rPr>
  </w:style>
  <w:style w:type="paragraph" w:styleId="NormalWeb">
    <w:name w:val="Normal (Web)"/>
    <w:basedOn w:val="Normal"/>
    <w:uiPriority w:val="99"/>
    <w:semiHidden/>
    <w:unhideWhenUsed/>
    <w:rsid w:val="0087150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71506"/>
  </w:style>
  <w:style w:type="character" w:styleId="Hyperlink">
    <w:name w:val="Hyperlink"/>
    <w:basedOn w:val="DefaultParagraphFont"/>
    <w:uiPriority w:val="99"/>
    <w:semiHidden/>
    <w:unhideWhenUsed/>
    <w:rsid w:val="008715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au.m.mimecastprotect.com/s/yf2qCmOxr6sRWGyYkSQt89sRPBxl?domain=gla.ac.uk" TargetMode="External"/><Relationship Id="rId3" Type="http://schemas.openxmlformats.org/officeDocument/2006/relationships/webSettings" Target="webSettings.xml"/><Relationship Id="rId7" Type="http://schemas.openxmlformats.org/officeDocument/2006/relationships/hyperlink" Target="https://url.au.m.mimecastprotect.com/s/VLDPClxwqLczXDRK6FqsMlsz_ezn?domain=responsive-europe.e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rl.au.m.mimecastprotect.com/s/DF5mCk8vpKsq5Z20osQinpsGMPLk?domain=mediaproject.wesleyan.edu" TargetMode="External"/><Relationship Id="rId11" Type="http://schemas.openxmlformats.org/officeDocument/2006/relationships/theme" Target="theme/theme1.xml"/><Relationship Id="rId5" Type="http://schemas.openxmlformats.org/officeDocument/2006/relationships/hyperlink" Target="https://url.au.m.mimecastprotect.com/s/Vf0VCjZroMFyRkoJZcRhA5smjPMQ?domain=publications.jrc.ec.europa.eu" TargetMode="External"/><Relationship Id="rId10" Type="http://schemas.openxmlformats.org/officeDocument/2006/relationships/fontTable" Target="fontTable.xml"/><Relationship Id="rId4" Type="http://schemas.openxmlformats.org/officeDocument/2006/relationships/hyperlink" Target="https://url.au.m.mimecastprotect.com/s/iakyCgZolKFYGnEW4INfkLs4z5Kb?domain=joint-research-centre.ec.europa.eu" TargetMode="External"/><Relationship Id="rId9" Type="http://schemas.openxmlformats.org/officeDocument/2006/relationships/hyperlink" Target="https://url.au.m.mimecastprotect.com/s/njn7CnxyvXc6mQ9LrIEuQ8sJCmny?domain=researchportal.ulisbo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1</cp:revision>
  <dcterms:created xsi:type="dcterms:W3CDTF">2026-10-23T00:06:00Z</dcterms:created>
  <dcterms:modified xsi:type="dcterms:W3CDTF">2026-10-23T00:06:00Z</dcterms:modified>
</cp:coreProperties>
</file>