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93BE09"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Hi Seraphine, Constanza and Max,</w:t>
      </w:r>
    </w:p>
    <w:p w14:paraId="77EE0601"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0169510C"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Many thanks for sharing the concept note and the draft WP structure, and for the additional explanation about WP4. I have now read the documents carefully, alongside the descriptions of the two calls. I am really exited about the chance of working with you on this application and (inshallah!) the realization of this timely and fascinating research agenda. There is a strong basis here for a collaborative project and research consortium. I particularly like the attempt to connect citizens’ autonomy, the information environment and institutional accountability, rather than treating AI and democracy mainly as a problem of misinformation.</w:t>
      </w:r>
    </w:p>
    <w:p w14:paraId="4056F66D"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My main concern at this stage is the breadth of the project. We have several promising research agendas, but </w:t>
      </w:r>
      <w:r w:rsidRPr="0070416C">
        <w:rPr>
          <w:rFonts w:ascii="Aptos" w:eastAsia="Times New Roman" w:hAnsi="Aptos" w:cs="Times New Roman"/>
          <w:color w:val="212121"/>
          <w:kern w:val="0"/>
          <w:sz w:val="22"/>
          <w:szCs w:val="22"/>
          <w:highlight w:val="yellow"/>
          <w:lang w:val="en-US" w:eastAsia="en-GB"/>
          <w14:ligatures w14:val="none"/>
        </w:rPr>
        <w:t>the connections between them might still need some work</w:t>
      </w:r>
      <w:r w:rsidRPr="00302F40">
        <w:rPr>
          <w:rFonts w:ascii="Aptos" w:eastAsia="Times New Roman" w:hAnsi="Aptos" w:cs="Times New Roman"/>
          <w:color w:val="212121"/>
          <w:kern w:val="0"/>
          <w:sz w:val="22"/>
          <w:szCs w:val="22"/>
          <w:lang w:val="en-US" w:eastAsia="en-GB"/>
          <w14:ligatures w14:val="none"/>
        </w:rPr>
        <w:t>. Below are some comments on the choice of call, the framework, the WPs and the consortium, followed by some thoughts about where I could contribute most usefully. I realise, of course, that this is an early concept note rather than a proposal. Some of my comments concern decisions for the next stage, rather than things that should already have been settled.</w:t>
      </w:r>
    </w:p>
    <w:p w14:paraId="63388EDC"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 </w:t>
      </w:r>
    </w:p>
    <w:p w14:paraId="0BCD7C5F"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The choice between DEMOCRACY-04 and DEMOCRACY-09</w:t>
      </w:r>
    </w:p>
    <w:p w14:paraId="6528F1F2"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I can see the case for prioritising DEMOCRACY-04. However, I am not yet fully convinced by the argument that the strong Australian component makes 04 the better fit. The decisive question should be what we want to explain and deliver, and whether the consortium has the expertise and practical partnerships needed for this.</w:t>
      </w:r>
    </w:p>
    <w:p w14:paraId="6ED6BBE9" w14:textId="77777777" w:rsidR="00302F40" w:rsidRPr="00302F40" w:rsidRDefault="00302F40" w:rsidP="00302F40">
      <w:pPr>
        <w:rPr>
          <w:rFonts w:ascii="Aptos" w:eastAsia="Times New Roman" w:hAnsi="Aptos" w:cs="Times New Roman"/>
          <w:color w:val="212121"/>
          <w:kern w:val="0"/>
          <w:lang w:eastAsia="en-GB"/>
          <w14:ligatures w14:val="none"/>
        </w:rPr>
      </w:pPr>
      <w:r w:rsidRPr="0070416C">
        <w:rPr>
          <w:rFonts w:ascii="Aptos" w:eastAsia="Times New Roman" w:hAnsi="Aptos" w:cs="Times New Roman"/>
          <w:color w:val="212121"/>
          <w:kern w:val="0"/>
          <w:sz w:val="22"/>
          <w:szCs w:val="22"/>
          <w:highlight w:val="yellow"/>
          <w:lang w:val="en-US" w:eastAsia="en-GB"/>
          <w14:ligatures w14:val="none"/>
        </w:rPr>
        <w:t>The conceptual center of the current note is democratic resilience: how citizens form judgements, how information circulates, and how institutions respond and remain accountable. In this respect, it fits DEMOCRACY-09 quite directly</w:t>
      </w:r>
      <w:r w:rsidRPr="00302F40">
        <w:rPr>
          <w:rFonts w:ascii="Aptos" w:eastAsia="Times New Roman" w:hAnsi="Aptos" w:cs="Times New Roman"/>
          <w:color w:val="212121"/>
          <w:kern w:val="0"/>
          <w:sz w:val="22"/>
          <w:szCs w:val="22"/>
          <w:lang w:val="en-US" w:eastAsia="en-GB"/>
          <w14:ligatures w14:val="none"/>
        </w:rPr>
        <w:t xml:space="preserve">. The deliberation pilots, political participation and institutional responsiveness would also sit comfortably there. DEMOCRACY-04 offers a more specific opportunity, but would require a stronger focus on </w:t>
      </w:r>
      <w:r w:rsidRPr="0070416C">
        <w:rPr>
          <w:rFonts w:ascii="Aptos" w:eastAsia="Times New Roman" w:hAnsi="Aptos" w:cs="Times New Roman"/>
          <w:color w:val="212121"/>
          <w:kern w:val="0"/>
          <w:sz w:val="22"/>
          <w:szCs w:val="22"/>
          <w:highlight w:val="yellow"/>
          <w:lang w:val="en-US" w:eastAsia="en-GB"/>
          <w14:ligatures w14:val="none"/>
        </w:rPr>
        <w:t>unequal harms, cyberviolence, discrimination and interventions that can demonstrably prevent or mitigate these problems. These subjects appear in the WP structure, but they are less central to the theoretical argument</w:t>
      </w:r>
      <w:r w:rsidRPr="00302F40">
        <w:rPr>
          <w:rFonts w:ascii="Aptos" w:eastAsia="Times New Roman" w:hAnsi="Aptos" w:cs="Times New Roman"/>
          <w:color w:val="212121"/>
          <w:kern w:val="0"/>
          <w:sz w:val="22"/>
          <w:szCs w:val="22"/>
          <w:lang w:val="en-US" w:eastAsia="en-GB"/>
          <w14:ligatures w14:val="none"/>
        </w:rPr>
        <w:t xml:space="preserve">. I would therefore support developing 04 as the main option, provided we would make this shift. The practical test would be whether we can assemble a convincing research programme on AI-enabled harms and unequal participation, with the necessary expertise on </w:t>
      </w:r>
      <w:r w:rsidRPr="0070416C">
        <w:rPr>
          <w:rFonts w:ascii="Aptos" w:eastAsia="Times New Roman" w:hAnsi="Aptos" w:cs="Times New Roman"/>
          <w:color w:val="212121"/>
          <w:kern w:val="0"/>
          <w:sz w:val="22"/>
          <w:szCs w:val="22"/>
          <w:highlight w:val="yellow"/>
          <w:lang w:val="en-US" w:eastAsia="en-GB"/>
          <w14:ligatures w14:val="none"/>
        </w:rPr>
        <w:t>cyberviolence, technical interventions, affected groups and European implementation.</w:t>
      </w:r>
      <w:r w:rsidRPr="00302F40">
        <w:rPr>
          <w:rFonts w:ascii="Aptos" w:eastAsia="Times New Roman" w:hAnsi="Aptos" w:cs="Times New Roman"/>
          <w:color w:val="212121"/>
          <w:kern w:val="0"/>
          <w:sz w:val="22"/>
          <w:szCs w:val="22"/>
          <w:lang w:val="en-US" w:eastAsia="en-GB"/>
          <w14:ligatures w14:val="none"/>
        </w:rPr>
        <w:t xml:space="preserve"> If this proves difficult, a more focused project for 09 might be the stronger application.</w:t>
      </w:r>
    </w:p>
    <w:p w14:paraId="3EF3C22B"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I would be cautious about keeping both calls open for too long through essentially the same WP structure. We can share an intellectual starting point, but the two applications would need different priorities and a different account of their intended contribution.</w:t>
      </w:r>
    </w:p>
    <w:p w14:paraId="286CD473"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There are also some practical points in the official Work Programme which are relevant. The indicative EU contribution is €3.5–4 million per project for 04 and €2–3.7 million for 09. The €20 million and €22 million are the overall topic budgets. Against this background, </w:t>
      </w:r>
      <w:r w:rsidRPr="00645989">
        <w:rPr>
          <w:rFonts w:ascii="Aptos" w:eastAsia="Times New Roman" w:hAnsi="Aptos" w:cs="Times New Roman"/>
          <w:color w:val="212121"/>
          <w:kern w:val="0"/>
          <w:sz w:val="22"/>
          <w:szCs w:val="22"/>
          <w:highlight w:val="yellow"/>
          <w:lang w:val="en-US" w:eastAsia="en-GB"/>
          <w14:ligatures w14:val="none"/>
        </w:rPr>
        <w:t>eleven WPs, several world regions, tool development, experiments, deliberative pilots and a new monitoring instrument seem rather ambitious.</w:t>
      </w:r>
      <w:r w:rsidRPr="00302F40">
        <w:rPr>
          <w:rFonts w:ascii="Aptos" w:eastAsia="Times New Roman" w:hAnsi="Aptos" w:cs="Times New Roman"/>
          <w:color w:val="212121"/>
          <w:kern w:val="0"/>
          <w:sz w:val="22"/>
          <w:szCs w:val="22"/>
          <w:lang w:val="en-US" w:eastAsia="en-GB"/>
          <w14:ligatures w14:val="none"/>
        </w:rPr>
        <w:t xml:space="preserve"> Eleven WPs are not in themselves a problem, but the total scope needs to be matched to realistic staff time and resources. For 09, the official conditions also require a relevant public body with a policymaking role and a relevant civil society organisation to participate as beneficiaries or affiliated entities. An advisory board would not substitute for this. The first-stage evaluation is blind. These conditions are not included in the extract we have, but would matter if we pursue this option.</w:t>
      </w:r>
    </w:p>
    <w:p w14:paraId="721EF7AC"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29106EA8"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The conceptual framework</w:t>
      </w:r>
    </w:p>
    <w:p w14:paraId="7671EF88"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The distinction between informational autonomy, integrity and accountability is useful. It would give us a way of connecting research that might otherwise remain separate. The attention to </w:t>
      </w:r>
      <w:r w:rsidRPr="00302F40">
        <w:rPr>
          <w:rFonts w:ascii="Aptos" w:eastAsia="Times New Roman" w:hAnsi="Aptos" w:cs="Times New Roman"/>
          <w:color w:val="212121"/>
          <w:kern w:val="0"/>
          <w:sz w:val="22"/>
          <w:szCs w:val="22"/>
          <w:lang w:val="en-US" w:eastAsia="en-GB"/>
          <w14:ligatures w14:val="none"/>
        </w:rPr>
        <w:lastRenderedPageBreak/>
        <w:t xml:space="preserve">distributional effects is another strength: the question is not simply whether AI helps or harms democracy, but whose autonomy, voice and capacity to demand accountability are affected. I would, however, </w:t>
      </w:r>
      <w:r w:rsidRPr="00645989">
        <w:rPr>
          <w:rFonts w:ascii="Aptos" w:eastAsia="Times New Roman" w:hAnsi="Aptos" w:cs="Times New Roman"/>
          <w:color w:val="212121"/>
          <w:kern w:val="0"/>
          <w:sz w:val="22"/>
          <w:szCs w:val="22"/>
          <w:highlight w:val="yellow"/>
          <w:lang w:val="en-US" w:eastAsia="en-GB"/>
          <w14:ligatures w14:val="none"/>
        </w:rPr>
        <w:t>be more careful about presenting democratic resilience itself as a property of information feedback systems</w:t>
      </w:r>
      <w:r w:rsidRPr="00302F40">
        <w:rPr>
          <w:rFonts w:ascii="Aptos" w:eastAsia="Times New Roman" w:hAnsi="Aptos" w:cs="Times New Roman"/>
          <w:color w:val="212121"/>
          <w:kern w:val="0"/>
          <w:sz w:val="22"/>
          <w:szCs w:val="22"/>
          <w:lang w:val="en-US" w:eastAsia="en-GB"/>
          <w14:ligatures w14:val="none"/>
        </w:rPr>
        <w:t xml:space="preserve">. This is a productive perspective on one dimension of resilience, but it risks becoming too encompassing. </w:t>
      </w:r>
      <w:r w:rsidRPr="00645989">
        <w:rPr>
          <w:rFonts w:ascii="Aptos" w:eastAsia="Times New Roman" w:hAnsi="Aptos" w:cs="Times New Roman"/>
          <w:color w:val="212121"/>
          <w:kern w:val="0"/>
          <w:sz w:val="22"/>
          <w:szCs w:val="22"/>
          <w:highlight w:val="yellow"/>
          <w:lang w:val="en-US" w:eastAsia="en-GB"/>
          <w14:ligatures w14:val="none"/>
        </w:rPr>
        <w:t>Democracies may fail despite relatively good information because executives dismantle constraints, political elites accommodate authoritarian initiatives, or coercion prevents effective opposition</w:t>
      </w:r>
      <w:r w:rsidRPr="00302F40">
        <w:rPr>
          <w:rFonts w:ascii="Aptos" w:eastAsia="Times New Roman" w:hAnsi="Aptos" w:cs="Times New Roman"/>
          <w:color w:val="212121"/>
          <w:kern w:val="0"/>
          <w:sz w:val="22"/>
          <w:szCs w:val="22"/>
          <w:lang w:val="en-US" w:eastAsia="en-GB"/>
          <w14:ligatures w14:val="none"/>
        </w:rPr>
        <w:t xml:space="preserve">. I believe that a more defensible claim might be that we examine </w:t>
      </w:r>
      <w:r w:rsidRPr="00645989">
        <w:rPr>
          <w:rFonts w:ascii="Aptos" w:eastAsia="Times New Roman" w:hAnsi="Aptos" w:cs="Times New Roman"/>
          <w:color w:val="212121"/>
          <w:kern w:val="0"/>
          <w:sz w:val="22"/>
          <w:szCs w:val="22"/>
          <w:highlight w:val="yellow"/>
          <w:lang w:val="en-US" w:eastAsia="en-GB"/>
          <w14:ligatures w14:val="none"/>
        </w:rPr>
        <w:t>how informational conditions enable or obstruct the activation of democratic safeguards. T</w:t>
      </w:r>
      <w:r w:rsidRPr="00302F40">
        <w:rPr>
          <w:rFonts w:ascii="Aptos" w:eastAsia="Times New Roman" w:hAnsi="Aptos" w:cs="Times New Roman"/>
          <w:color w:val="212121"/>
          <w:kern w:val="0"/>
          <w:sz w:val="22"/>
          <w:szCs w:val="22"/>
          <w:lang w:val="en-US" w:eastAsia="en-GB"/>
          <w14:ligatures w14:val="none"/>
        </w:rPr>
        <w:t>his would preserve the framework’s contribution without asking it to explain democratic resilience as a whole.</w:t>
      </w:r>
    </w:p>
    <w:p w14:paraId="0BFF1FB5"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Related to this, we should distinguish capacities, mechanisms and outcomes more explicitly. At present, autonomy, integrity and accountability sometimes appear as democratic qualities, sometimes as preconditions for resilience, and sometimes as resilience itself. This makes it difficult to establish what explains what. For example, an AI-enabled intimidation campaign would constitute a pressure. Independent oversight, civil society support and accessible complaints procedures would be capacities. Verification, public exposure, mobilisation, investigation and correction would be mechanisms. Preserved participation, reduced unequal harm or a reversed decision would be outcomes. </w:t>
      </w:r>
      <w:r w:rsidRPr="00645989">
        <w:rPr>
          <w:rFonts w:ascii="Aptos" w:eastAsia="Times New Roman" w:hAnsi="Aptos" w:cs="Times New Roman"/>
          <w:color w:val="212121"/>
          <w:kern w:val="0"/>
          <w:sz w:val="22"/>
          <w:szCs w:val="22"/>
          <w:highlight w:val="yellow"/>
          <w:lang w:val="en-US" w:eastAsia="en-GB"/>
          <w14:ligatures w14:val="none"/>
        </w:rPr>
        <w:t>This distinction would also help us identify when we are actually studying resilience, rather than information quality, institutional trust or technology acceptance more generally.</w:t>
      </w:r>
    </w:p>
    <w:p w14:paraId="55701A6D"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I also think </w:t>
      </w:r>
      <w:r w:rsidRPr="00645989">
        <w:rPr>
          <w:rFonts w:ascii="Aptos" w:eastAsia="Times New Roman" w:hAnsi="Aptos" w:cs="Times New Roman"/>
          <w:color w:val="212121"/>
          <w:kern w:val="0"/>
          <w:sz w:val="22"/>
          <w:szCs w:val="22"/>
          <w:highlight w:val="yellow"/>
          <w:lang w:val="en-US" w:eastAsia="en-GB"/>
          <w14:ligatures w14:val="none"/>
        </w:rPr>
        <w:t>political actors and their incentives need a more prominent place</w:t>
      </w:r>
      <w:r w:rsidRPr="00302F40">
        <w:rPr>
          <w:rFonts w:ascii="Aptos" w:eastAsia="Times New Roman" w:hAnsi="Aptos" w:cs="Times New Roman"/>
          <w:color w:val="212121"/>
          <w:kern w:val="0"/>
          <w:sz w:val="22"/>
          <w:szCs w:val="22"/>
          <w:lang w:val="en-US" w:eastAsia="en-GB"/>
          <w14:ligatures w14:val="none"/>
        </w:rPr>
        <w:t>. The note says quite a lot about what AI can do, but less about who uses particular capabilities, against whom, and for what purpose. Parties, governments, platforms, commercial AI providers, journalists and civil society organisations occupy very different positions. Deliberate intimidation, commercially amplified misinformation and an unintentionally biased administrative decision require different explanations and different responses.</w:t>
      </w:r>
    </w:p>
    <w:p w14:paraId="48B29FDD"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There are also </w:t>
      </w:r>
      <w:r w:rsidRPr="00645989">
        <w:rPr>
          <w:rFonts w:ascii="Aptos" w:eastAsia="Times New Roman" w:hAnsi="Aptos" w:cs="Times New Roman"/>
          <w:color w:val="212121"/>
          <w:kern w:val="0"/>
          <w:sz w:val="22"/>
          <w:szCs w:val="22"/>
          <w:highlight w:val="yellow"/>
          <w:lang w:val="en-US" w:eastAsia="en-GB"/>
          <w14:ligatures w14:val="none"/>
        </w:rPr>
        <w:t>tensions between the three dimensions</w:t>
      </w:r>
      <w:r w:rsidRPr="00302F40">
        <w:rPr>
          <w:rFonts w:ascii="Aptos" w:eastAsia="Times New Roman" w:hAnsi="Aptos" w:cs="Times New Roman"/>
          <w:color w:val="212121"/>
          <w:kern w:val="0"/>
          <w:sz w:val="22"/>
          <w:szCs w:val="22"/>
          <w:lang w:val="en-US" w:eastAsia="en-GB"/>
          <w14:ligatures w14:val="none"/>
        </w:rPr>
        <w:t xml:space="preserve"> which deserve more attention. Content moderation may reduce harm while excluding legitimate minority speech. Transparency may support scrutiny while exposing vulnerable individuals. AI-assisted summaries may widen access but flatten disagreement. These are interesting research problems in their own right, and could take us beyond the broad observation that AI has both positive and negative effects.</w:t>
      </w:r>
    </w:p>
    <w:p w14:paraId="07ABBA14" w14:textId="77777777" w:rsidR="00302F40" w:rsidRPr="00302F40" w:rsidRDefault="00302F40" w:rsidP="00302F40">
      <w:pPr>
        <w:rPr>
          <w:rFonts w:ascii="Aptos" w:eastAsia="Times New Roman" w:hAnsi="Aptos" w:cs="Times New Roman"/>
          <w:color w:val="212121"/>
          <w:kern w:val="0"/>
          <w:lang w:eastAsia="en-GB"/>
          <w14:ligatures w14:val="none"/>
        </w:rPr>
      </w:pPr>
      <w:r w:rsidRPr="00645989">
        <w:rPr>
          <w:rFonts w:ascii="Aptos" w:eastAsia="Times New Roman" w:hAnsi="Aptos" w:cs="Times New Roman"/>
          <w:color w:val="212121"/>
          <w:kern w:val="0"/>
          <w:sz w:val="22"/>
          <w:szCs w:val="22"/>
          <w:highlight w:val="yellow"/>
          <w:lang w:val="en-US" w:eastAsia="en-GB"/>
          <w14:ligatures w14:val="none"/>
        </w:rPr>
        <w:t>The figure is helpful as an initial heuristic, but I would not treat its categories as a strict division of functions</w:t>
      </w:r>
      <w:r w:rsidRPr="00302F40">
        <w:rPr>
          <w:rFonts w:ascii="Aptos" w:eastAsia="Times New Roman" w:hAnsi="Aptos" w:cs="Times New Roman"/>
          <w:color w:val="212121"/>
          <w:kern w:val="0"/>
          <w:sz w:val="22"/>
          <w:szCs w:val="22"/>
          <w:lang w:val="en-US" w:eastAsia="en-GB"/>
          <w14:ligatures w14:val="none"/>
        </w:rPr>
        <w:t xml:space="preserve">. Citizens also exercise accountability, institutions produce information, and platforms structure citizens’ opportunities to act. Deliberation does not belong only on the accountability side. </w:t>
      </w:r>
      <w:r w:rsidRPr="00645989">
        <w:rPr>
          <w:rFonts w:ascii="Aptos" w:eastAsia="Times New Roman" w:hAnsi="Aptos" w:cs="Times New Roman"/>
          <w:color w:val="212121"/>
          <w:kern w:val="0"/>
          <w:sz w:val="22"/>
          <w:szCs w:val="22"/>
          <w:highlight w:val="yellow"/>
          <w:lang w:val="en-US" w:eastAsia="en-GB"/>
          <w14:ligatures w14:val="none"/>
        </w:rPr>
        <w:t>The crucial connection between public communication and an actual institutional response also remains rather implicit in the figure. This is precisely where I think the project could make an important contribution</w:t>
      </w:r>
      <w:r w:rsidRPr="00302F40">
        <w:rPr>
          <w:rFonts w:ascii="Aptos" w:eastAsia="Times New Roman" w:hAnsi="Aptos" w:cs="Times New Roman"/>
          <w:color w:val="212121"/>
          <w:kern w:val="0"/>
          <w:sz w:val="22"/>
          <w:szCs w:val="22"/>
          <w:lang w:val="en-US" w:eastAsia="en-GB"/>
          <w14:ligatures w14:val="none"/>
        </w:rPr>
        <w:t>.</w:t>
      </w:r>
    </w:p>
    <w:p w14:paraId="620E4E1B"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For DEMOCRACY-04, I would give </w:t>
      </w:r>
      <w:r w:rsidRPr="00645989">
        <w:rPr>
          <w:rFonts w:ascii="Aptos" w:eastAsia="Times New Roman" w:hAnsi="Aptos" w:cs="Times New Roman"/>
          <w:color w:val="212121"/>
          <w:kern w:val="0"/>
          <w:sz w:val="22"/>
          <w:szCs w:val="22"/>
          <w:highlight w:val="yellow"/>
          <w:lang w:val="en-US" w:eastAsia="en-GB"/>
          <w14:ligatures w14:val="none"/>
        </w:rPr>
        <w:t>harms and affected people a more independent place in the framework</w:t>
      </w:r>
      <w:r w:rsidRPr="00302F40">
        <w:rPr>
          <w:rFonts w:ascii="Aptos" w:eastAsia="Times New Roman" w:hAnsi="Aptos" w:cs="Times New Roman"/>
          <w:color w:val="212121"/>
          <w:kern w:val="0"/>
          <w:sz w:val="22"/>
          <w:szCs w:val="22"/>
          <w:lang w:val="en-US" w:eastAsia="en-GB"/>
          <w14:ligatures w14:val="none"/>
        </w:rPr>
        <w:t xml:space="preserve">. </w:t>
      </w:r>
      <w:r w:rsidRPr="00645989">
        <w:rPr>
          <w:rFonts w:ascii="Aptos" w:eastAsia="Times New Roman" w:hAnsi="Aptos" w:cs="Times New Roman"/>
          <w:color w:val="212121"/>
          <w:kern w:val="0"/>
          <w:sz w:val="22"/>
          <w:szCs w:val="22"/>
          <w:highlight w:val="yellow"/>
          <w:lang w:val="en-US" w:eastAsia="en-GB"/>
          <w14:ligatures w14:val="none"/>
        </w:rPr>
        <w:t>Sexualised deepfakes, sextortion and harassment cannot adequately be understood only as disturbances of democratic information flows</w:t>
      </w:r>
      <w:r w:rsidRPr="00302F40">
        <w:rPr>
          <w:rFonts w:ascii="Aptos" w:eastAsia="Times New Roman" w:hAnsi="Aptos" w:cs="Times New Roman"/>
          <w:color w:val="212121"/>
          <w:kern w:val="0"/>
          <w:sz w:val="22"/>
          <w:szCs w:val="22"/>
          <w:lang w:val="en-US" w:eastAsia="en-GB"/>
          <w14:ligatures w14:val="none"/>
        </w:rPr>
        <w:t>. Their harm does not depend on people believing the material is authentic, or on a subsequent decline in institutional trust.</w:t>
      </w:r>
    </w:p>
    <w:p w14:paraId="59D74E87"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We need to distinguish immediate harms to dignity and safety, consequences for social and political participation, and wider effects on representation and public life. This would also allow us to explain how targeted harm against individuals can produce collective inequalities. One possible common question would be: </w:t>
      </w:r>
      <w:r w:rsidRPr="00645989">
        <w:rPr>
          <w:rFonts w:ascii="Aptos" w:eastAsia="Times New Roman" w:hAnsi="Aptos" w:cs="Times New Roman"/>
          <w:color w:val="212121"/>
          <w:kern w:val="0"/>
          <w:sz w:val="22"/>
          <w:szCs w:val="22"/>
          <w:highlight w:val="yellow"/>
          <w:lang w:val="en-US" w:eastAsia="en-GB"/>
          <w14:ligatures w14:val="none"/>
        </w:rPr>
        <w:t>under what conditions do AI-enabled manipulation and intimidation create unequal opportunities to participate, and which technical, institutional and societal interventions prevent this?</w:t>
      </w:r>
      <w:r w:rsidRPr="00302F40">
        <w:rPr>
          <w:rFonts w:ascii="Aptos" w:eastAsia="Times New Roman" w:hAnsi="Aptos" w:cs="Times New Roman"/>
          <w:color w:val="212121"/>
          <w:kern w:val="0"/>
          <w:sz w:val="22"/>
          <w:szCs w:val="22"/>
          <w:lang w:val="en-US" w:eastAsia="en-GB"/>
          <w14:ligatures w14:val="none"/>
        </w:rPr>
        <w:t xml:space="preserve"> </w:t>
      </w:r>
      <w:r w:rsidRPr="00545DA8">
        <w:rPr>
          <w:rFonts w:ascii="Aptos" w:eastAsia="Times New Roman" w:hAnsi="Aptos" w:cs="Times New Roman"/>
          <w:color w:val="212121"/>
          <w:kern w:val="0"/>
          <w:sz w:val="22"/>
          <w:szCs w:val="22"/>
          <w:highlight w:val="yellow"/>
          <w:lang w:val="en-US" w:eastAsia="en-GB"/>
          <w14:ligatures w14:val="none"/>
        </w:rPr>
        <w:t>This would connect equality, cyberviolence and democracy quite directly.</w:t>
      </w:r>
      <w:r w:rsidRPr="00302F40">
        <w:rPr>
          <w:rFonts w:ascii="Aptos" w:eastAsia="Times New Roman" w:hAnsi="Aptos" w:cs="Times New Roman"/>
          <w:color w:val="212121"/>
          <w:kern w:val="0"/>
          <w:sz w:val="22"/>
          <w:szCs w:val="22"/>
          <w:lang w:val="en-US" w:eastAsia="en-GB"/>
          <w14:ligatures w14:val="none"/>
        </w:rPr>
        <w:t xml:space="preserve"> At the same time, we should leave room for harms whose importance extends beyond political participation. The current draft would also benefit from a more concrete treatment of </w:t>
      </w:r>
      <w:r w:rsidRPr="00545DA8">
        <w:rPr>
          <w:rFonts w:ascii="Aptos" w:eastAsia="Times New Roman" w:hAnsi="Aptos" w:cs="Times New Roman"/>
          <w:color w:val="212121"/>
          <w:kern w:val="0"/>
          <w:sz w:val="22"/>
          <w:szCs w:val="22"/>
          <w:highlight w:val="yellow"/>
          <w:lang w:val="en-US" w:eastAsia="en-GB"/>
          <w14:ligatures w14:val="none"/>
        </w:rPr>
        <w:t>young people</w:t>
      </w:r>
      <w:r w:rsidRPr="00302F40">
        <w:rPr>
          <w:rFonts w:ascii="Aptos" w:eastAsia="Times New Roman" w:hAnsi="Aptos" w:cs="Times New Roman"/>
          <w:color w:val="212121"/>
          <w:kern w:val="0"/>
          <w:sz w:val="22"/>
          <w:szCs w:val="22"/>
          <w:lang w:val="en-US" w:eastAsia="en-GB"/>
          <w14:ligatures w14:val="none"/>
        </w:rPr>
        <w:t xml:space="preserve">, psychological consequences and access to support and remedy. </w:t>
      </w:r>
      <w:r w:rsidRPr="00302F40">
        <w:rPr>
          <w:rFonts w:ascii="Aptos" w:eastAsia="Times New Roman" w:hAnsi="Aptos" w:cs="Times New Roman"/>
          <w:color w:val="212121"/>
          <w:kern w:val="0"/>
          <w:sz w:val="22"/>
          <w:szCs w:val="22"/>
          <w:lang w:val="en-US" w:eastAsia="en-GB"/>
          <w14:ligatures w14:val="none"/>
        </w:rPr>
        <w:lastRenderedPageBreak/>
        <w:t>Disaggregating survey results by gender or age will be useful, but it will not by itself address these questions.</w:t>
      </w:r>
    </w:p>
    <w:p w14:paraId="33EC8063"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 </w:t>
      </w:r>
    </w:p>
    <w:p w14:paraId="13062CA9"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The WP structure</w:t>
      </w:r>
    </w:p>
    <w:p w14:paraId="6EEC08F0"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My impression is that the WP table currently demonstrates thematic coverage more clearly than it demonstrates an integrated research design. Mapping the call’s language is sensible, but it cannot replace an explanation </w:t>
      </w:r>
      <w:r w:rsidRPr="00545DA8">
        <w:rPr>
          <w:rFonts w:ascii="Aptos" w:eastAsia="Times New Roman" w:hAnsi="Aptos" w:cs="Times New Roman"/>
          <w:color w:val="212121"/>
          <w:kern w:val="0"/>
          <w:sz w:val="22"/>
          <w:szCs w:val="22"/>
          <w:highlight w:val="yellow"/>
          <w:lang w:val="en-US" w:eastAsia="en-GB"/>
          <w14:ligatures w14:val="none"/>
        </w:rPr>
        <w:t>of why these activities belong in one project</w:t>
      </w:r>
      <w:r w:rsidRPr="00302F40">
        <w:rPr>
          <w:rFonts w:ascii="Aptos" w:eastAsia="Times New Roman" w:hAnsi="Aptos" w:cs="Times New Roman"/>
          <w:color w:val="212121"/>
          <w:kern w:val="0"/>
          <w:sz w:val="22"/>
          <w:szCs w:val="22"/>
          <w:lang w:val="en-US" w:eastAsia="en-GB"/>
          <w14:ligatures w14:val="none"/>
        </w:rPr>
        <w:t xml:space="preserve">. For each WP, I would ask: </w:t>
      </w:r>
      <w:r w:rsidRPr="00545DA8">
        <w:rPr>
          <w:rFonts w:ascii="Aptos" w:eastAsia="Times New Roman" w:hAnsi="Aptos" w:cs="Times New Roman"/>
          <w:color w:val="212121"/>
          <w:kern w:val="0"/>
          <w:sz w:val="22"/>
          <w:szCs w:val="22"/>
          <w:highlight w:val="yellow"/>
          <w:lang w:val="en-US" w:eastAsia="en-GB"/>
          <w14:ligatures w14:val="none"/>
        </w:rPr>
        <w:t>what does it receive from the other WPs, what does it contribute to them, and which shared question could not be answered without this combination?</w:t>
      </w:r>
    </w:p>
    <w:p w14:paraId="701FCC35"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eastAsia="en-GB"/>
          <w14:ligatures w14:val="none"/>
        </w:rPr>
        <w:t>Some more specific comments:</w:t>
      </w:r>
    </w:p>
    <w:p w14:paraId="0EE9F230" w14:textId="77777777" w:rsidR="00302F40" w:rsidRPr="00545DA8" w:rsidRDefault="00302F40" w:rsidP="00302F40">
      <w:pPr>
        <w:numPr>
          <w:ilvl w:val="0"/>
          <w:numId w:val="1"/>
        </w:numPr>
        <w:rPr>
          <w:rFonts w:ascii="Aptos" w:eastAsia="Times New Roman" w:hAnsi="Aptos" w:cs="Times New Roman"/>
          <w:color w:val="212121"/>
          <w:kern w:val="0"/>
          <w:highlight w:val="yellow"/>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WP1:</w:t>
      </w:r>
      <w:r w:rsidRPr="00302F40">
        <w:rPr>
          <w:rFonts w:ascii="Aptos" w:eastAsia="Times New Roman" w:hAnsi="Aptos" w:cs="Times New Roman"/>
          <w:color w:val="212121"/>
          <w:kern w:val="0"/>
          <w:sz w:val="22"/>
          <w:szCs w:val="22"/>
          <w:lang w:val="en-US" w:eastAsia="en-GB"/>
          <w14:ligatures w14:val="none"/>
        </w:rPr>
        <w:t xml:space="preserve"> The framework, case selection and common measures need to be available early enough to guide empirical work. I would aim for an initial agreed protocol by around month 3 or 4, with revisions later. </w:t>
      </w:r>
      <w:r w:rsidRPr="00545DA8">
        <w:rPr>
          <w:rFonts w:ascii="Aptos" w:eastAsia="Times New Roman" w:hAnsi="Aptos" w:cs="Times New Roman"/>
          <w:color w:val="212121"/>
          <w:kern w:val="0"/>
          <w:sz w:val="22"/>
          <w:szCs w:val="22"/>
          <w:highlight w:val="yellow"/>
          <w:lang w:val="en-US" w:eastAsia="en-GB"/>
          <w14:ligatures w14:val="none"/>
        </w:rPr>
        <w:t>European partners should be substantively involved in developing this, rather than mainly applying a framework developed elsewhere.</w:t>
      </w:r>
    </w:p>
    <w:p w14:paraId="3FFCC253" w14:textId="77777777" w:rsidR="00302F40" w:rsidRPr="00302F40" w:rsidRDefault="00302F40" w:rsidP="00302F40">
      <w:pPr>
        <w:numPr>
          <w:ilvl w:val="0"/>
          <w:numId w:val="1"/>
        </w:num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WP2:</w:t>
      </w:r>
      <w:r w:rsidRPr="00302F40">
        <w:rPr>
          <w:rFonts w:ascii="Aptos" w:eastAsia="Times New Roman" w:hAnsi="Aptos" w:cs="Times New Roman"/>
          <w:color w:val="212121"/>
          <w:kern w:val="0"/>
          <w:sz w:val="22"/>
          <w:szCs w:val="22"/>
          <w:lang w:val="en-US" w:eastAsia="en-GB"/>
          <w14:ligatures w14:val="none"/>
        </w:rPr>
        <w:t xml:space="preserve"> This should be a core WP for 04, but currently combines very large subjects. </w:t>
      </w:r>
      <w:r w:rsidRPr="00545DA8">
        <w:rPr>
          <w:rFonts w:ascii="Aptos" w:eastAsia="Times New Roman" w:hAnsi="Aptos" w:cs="Times New Roman"/>
          <w:color w:val="212121"/>
          <w:kern w:val="0"/>
          <w:sz w:val="22"/>
          <w:szCs w:val="22"/>
          <w:highlight w:val="yellow"/>
          <w:lang w:val="en-US" w:eastAsia="en-GB"/>
          <w14:ligatures w14:val="none"/>
        </w:rPr>
        <w:t>Electoral manipulation and sexualised cyberviolence</w:t>
      </w:r>
      <w:r w:rsidRPr="00302F40">
        <w:rPr>
          <w:rFonts w:ascii="Aptos" w:eastAsia="Times New Roman" w:hAnsi="Aptos" w:cs="Times New Roman"/>
          <w:color w:val="212121"/>
          <w:kern w:val="0"/>
          <w:sz w:val="22"/>
          <w:szCs w:val="22"/>
          <w:lang w:val="en-US" w:eastAsia="en-GB"/>
          <w14:ligatures w14:val="none"/>
        </w:rPr>
        <w:t xml:space="preserve"> need distinct tasks, appropriate methods and partners with access to </w:t>
      </w:r>
      <w:commentRangeStart w:id="0"/>
      <w:r w:rsidRPr="00302F40">
        <w:rPr>
          <w:rFonts w:ascii="Aptos" w:eastAsia="Times New Roman" w:hAnsi="Aptos" w:cs="Times New Roman"/>
          <w:color w:val="212121"/>
          <w:kern w:val="0"/>
          <w:sz w:val="22"/>
          <w:szCs w:val="22"/>
          <w:lang w:val="en-US" w:eastAsia="en-GB"/>
          <w14:ligatures w14:val="none"/>
        </w:rPr>
        <w:t>affected groups.</w:t>
      </w:r>
      <w:commentRangeEnd w:id="0"/>
      <w:r w:rsidR="00545DA8" w:rsidRPr="00302F40">
        <w:rPr>
          <w:rStyle w:val="CommentReference"/>
          <w:rFonts w:ascii="Aptos" w:eastAsia="Times New Roman" w:hAnsi="Aptos" w:cs="Times New Roman"/>
          <w:color w:val="212121"/>
          <w:kern w:val="0"/>
          <w:sz w:val="24"/>
          <w:szCs w:val="24"/>
          <w:lang w:eastAsia="en-GB"/>
          <w14:ligatures w14:val="none"/>
        </w:rPr>
        <w:commentReference w:id="0"/>
      </w:r>
    </w:p>
    <w:p w14:paraId="5EB7CE68" w14:textId="77777777" w:rsidR="00302F40" w:rsidRPr="00302F40" w:rsidRDefault="00302F40" w:rsidP="00302F40">
      <w:pPr>
        <w:numPr>
          <w:ilvl w:val="0"/>
          <w:numId w:val="1"/>
        </w:num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WP3:</w:t>
      </w:r>
      <w:r w:rsidRPr="00302F40">
        <w:rPr>
          <w:rFonts w:ascii="Aptos" w:eastAsia="Times New Roman" w:hAnsi="Aptos" w:cs="Times New Roman"/>
          <w:color w:val="212121"/>
          <w:kern w:val="0"/>
          <w:sz w:val="22"/>
          <w:szCs w:val="22"/>
          <w:lang w:val="en-US" w:eastAsia="en-GB"/>
          <w14:ligatures w14:val="none"/>
        </w:rPr>
        <w:t xml:space="preserve"> We need to specify the tools, users and development pathway. Are we adapting existing tools </w:t>
      </w:r>
      <w:r w:rsidRPr="00545DA8">
        <w:rPr>
          <w:rFonts w:ascii="Aptos" w:eastAsia="Times New Roman" w:hAnsi="Aptos" w:cs="Times New Roman"/>
          <w:color w:val="212121"/>
          <w:kern w:val="0"/>
          <w:sz w:val="22"/>
          <w:szCs w:val="22"/>
          <w:highlight w:val="yellow"/>
          <w:lang w:val="en-US" w:eastAsia="en-GB"/>
          <w14:ligatures w14:val="none"/>
        </w:rPr>
        <w:t>or building something new</w:t>
      </w:r>
      <w:r w:rsidRPr="00302F40">
        <w:rPr>
          <w:rFonts w:ascii="Aptos" w:eastAsia="Times New Roman" w:hAnsi="Aptos" w:cs="Times New Roman"/>
          <w:color w:val="212121"/>
          <w:kern w:val="0"/>
          <w:sz w:val="22"/>
          <w:szCs w:val="22"/>
          <w:lang w:val="en-US" w:eastAsia="en-GB"/>
          <w14:ligatures w14:val="none"/>
        </w:rPr>
        <w:t>? How will performance be assessed, including false positives, unequal error rates and usability in real settings?</w:t>
      </w:r>
    </w:p>
    <w:p w14:paraId="4C7646F8" w14:textId="77777777" w:rsidR="00302F40" w:rsidRPr="00302F40" w:rsidRDefault="00302F40" w:rsidP="00302F40">
      <w:pPr>
        <w:numPr>
          <w:ilvl w:val="0"/>
          <w:numId w:val="1"/>
        </w:num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WP4:</w:t>
      </w:r>
      <w:r w:rsidRPr="00302F40">
        <w:rPr>
          <w:rFonts w:ascii="Aptos" w:eastAsia="Times New Roman" w:hAnsi="Aptos" w:cs="Times New Roman"/>
          <w:color w:val="212121"/>
          <w:kern w:val="0"/>
          <w:sz w:val="22"/>
          <w:szCs w:val="22"/>
          <w:lang w:val="en-US" w:eastAsia="en-GB"/>
          <w14:ligatures w14:val="none"/>
        </w:rPr>
        <w:t xml:space="preserve"> This could provide </w:t>
      </w:r>
      <w:r w:rsidRPr="00545DA8">
        <w:rPr>
          <w:rFonts w:ascii="Aptos" w:eastAsia="Times New Roman" w:hAnsi="Aptos" w:cs="Times New Roman"/>
          <w:color w:val="212121"/>
          <w:kern w:val="0"/>
          <w:sz w:val="22"/>
          <w:szCs w:val="22"/>
          <w:highlight w:val="yellow"/>
          <w:lang w:val="en-US" w:eastAsia="en-GB"/>
          <w14:ligatures w14:val="none"/>
        </w:rPr>
        <w:t>an important explanation of why harms and responses vary</w:t>
      </w:r>
      <w:r w:rsidRPr="00302F40">
        <w:rPr>
          <w:rFonts w:ascii="Aptos" w:eastAsia="Times New Roman" w:hAnsi="Aptos" w:cs="Times New Roman"/>
          <w:color w:val="212121"/>
          <w:kern w:val="0"/>
          <w:sz w:val="22"/>
          <w:szCs w:val="22"/>
          <w:lang w:val="en-US" w:eastAsia="en-GB"/>
          <w14:ligatures w14:val="none"/>
        </w:rPr>
        <w:t>. Its present scope is too loose, though, and power asymmetries affect autonomy and accountability as much as integrity.</w:t>
      </w:r>
    </w:p>
    <w:p w14:paraId="708D741A" w14:textId="77777777" w:rsidR="00302F40" w:rsidRPr="00302F40" w:rsidRDefault="00302F40" w:rsidP="00302F40">
      <w:pPr>
        <w:numPr>
          <w:ilvl w:val="0"/>
          <w:numId w:val="1"/>
        </w:num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WP5:</w:t>
      </w:r>
      <w:r w:rsidRPr="00302F40">
        <w:rPr>
          <w:rFonts w:ascii="Aptos" w:eastAsia="Times New Roman" w:hAnsi="Aptos" w:cs="Times New Roman"/>
          <w:color w:val="212121"/>
          <w:kern w:val="0"/>
          <w:sz w:val="22"/>
          <w:szCs w:val="22"/>
          <w:lang w:val="en-US" w:eastAsia="en-GB"/>
          <w14:ligatures w14:val="none"/>
        </w:rPr>
        <w:t> A general study of citizens’ AI use and trust would become a large project of its own</w:t>
      </w:r>
      <w:r w:rsidRPr="00545DA8">
        <w:rPr>
          <w:rFonts w:ascii="Aptos" w:eastAsia="Times New Roman" w:hAnsi="Aptos" w:cs="Times New Roman"/>
          <w:color w:val="212121"/>
          <w:kern w:val="0"/>
          <w:sz w:val="22"/>
          <w:szCs w:val="22"/>
          <w:highlight w:val="yellow"/>
          <w:lang w:val="en-US" w:eastAsia="en-GB"/>
          <w14:ligatures w14:val="none"/>
        </w:rPr>
        <w:t>. I would connect it more closely to exposure, harm, self-censorship, participation and the use of protective measures</w:t>
      </w:r>
      <w:r w:rsidRPr="00302F40">
        <w:rPr>
          <w:rFonts w:ascii="Aptos" w:eastAsia="Times New Roman" w:hAnsi="Aptos" w:cs="Times New Roman"/>
          <w:color w:val="212121"/>
          <w:kern w:val="0"/>
          <w:sz w:val="22"/>
          <w:szCs w:val="22"/>
          <w:lang w:val="en-US" w:eastAsia="en-GB"/>
          <w14:ligatures w14:val="none"/>
        </w:rPr>
        <w:t>.</w:t>
      </w:r>
    </w:p>
    <w:p w14:paraId="7DAC0BBE" w14:textId="77777777" w:rsidR="00302F40" w:rsidRPr="00545DA8" w:rsidRDefault="00302F40" w:rsidP="00302F40">
      <w:pPr>
        <w:numPr>
          <w:ilvl w:val="0"/>
          <w:numId w:val="1"/>
        </w:numPr>
        <w:rPr>
          <w:rFonts w:ascii="Aptos" w:eastAsia="Times New Roman" w:hAnsi="Aptos" w:cs="Times New Roman"/>
          <w:color w:val="212121"/>
          <w:kern w:val="0"/>
          <w:highlight w:val="yellow"/>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WP6:</w:t>
      </w:r>
      <w:r w:rsidRPr="00302F40">
        <w:rPr>
          <w:rFonts w:ascii="Aptos" w:eastAsia="Times New Roman" w:hAnsi="Aptos" w:cs="Times New Roman"/>
          <w:color w:val="212121"/>
          <w:kern w:val="0"/>
          <w:sz w:val="22"/>
          <w:szCs w:val="22"/>
          <w:lang w:val="en-US" w:eastAsia="en-GB"/>
          <w14:ligatures w14:val="none"/>
        </w:rPr>
        <w:t xml:space="preserve"> Media literacy is relevant, but improvements in knowledge should not be the only success criterion. We should also examine </w:t>
      </w:r>
      <w:r w:rsidRPr="00545DA8">
        <w:rPr>
          <w:rFonts w:ascii="Aptos" w:eastAsia="Times New Roman" w:hAnsi="Aptos" w:cs="Times New Roman"/>
          <w:color w:val="212121"/>
          <w:kern w:val="0"/>
          <w:sz w:val="22"/>
          <w:szCs w:val="22"/>
          <w:highlight w:val="yellow"/>
          <w:lang w:val="en-US" w:eastAsia="en-GB"/>
          <w14:ligatures w14:val="none"/>
        </w:rPr>
        <w:t>behaviour, practical protection and whether effects last.</w:t>
      </w:r>
    </w:p>
    <w:p w14:paraId="4C4B736E" w14:textId="77777777" w:rsidR="00302F40" w:rsidRPr="00545DA8" w:rsidRDefault="00302F40" w:rsidP="00302F40">
      <w:pPr>
        <w:numPr>
          <w:ilvl w:val="0"/>
          <w:numId w:val="1"/>
        </w:numPr>
        <w:rPr>
          <w:rFonts w:ascii="Aptos" w:eastAsia="Times New Roman" w:hAnsi="Aptos" w:cs="Times New Roman"/>
          <w:color w:val="212121"/>
          <w:kern w:val="0"/>
          <w:highlight w:val="yellow"/>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WP7:</w:t>
      </w:r>
      <w:r w:rsidRPr="00302F40">
        <w:rPr>
          <w:rFonts w:ascii="Aptos" w:eastAsia="Times New Roman" w:hAnsi="Aptos" w:cs="Times New Roman"/>
          <w:color w:val="212121"/>
          <w:kern w:val="0"/>
          <w:sz w:val="22"/>
          <w:szCs w:val="22"/>
          <w:lang w:val="en-US" w:eastAsia="en-GB"/>
          <w14:ligatures w14:val="none"/>
        </w:rPr>
        <w:t xml:space="preserve"> I find the deliberation pilots interesting, but their connection to 04 is currently the least clear. I would keep them only if they address a specific problem identified elsewhere in the project, or help develop and test relevant governance responses. </w:t>
      </w:r>
      <w:r w:rsidRPr="00545DA8">
        <w:rPr>
          <w:rFonts w:ascii="Aptos" w:eastAsia="Times New Roman" w:hAnsi="Aptos" w:cs="Times New Roman"/>
          <w:color w:val="212121"/>
          <w:kern w:val="0"/>
          <w:sz w:val="22"/>
          <w:szCs w:val="22"/>
          <w:highlight w:val="yellow"/>
          <w:lang w:val="en-US" w:eastAsia="en-GB"/>
          <w14:ligatures w14:val="none"/>
        </w:rPr>
        <w:t>They would have a more central role in a 09 application.</w:t>
      </w:r>
    </w:p>
    <w:p w14:paraId="05982319" w14:textId="77777777" w:rsidR="00302F40" w:rsidRPr="00302F40" w:rsidRDefault="00302F40" w:rsidP="00302F40">
      <w:pPr>
        <w:numPr>
          <w:ilvl w:val="0"/>
          <w:numId w:val="1"/>
        </w:num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WP8:</w:t>
      </w:r>
      <w:r w:rsidRPr="00302F40">
        <w:rPr>
          <w:rFonts w:ascii="Aptos" w:eastAsia="Times New Roman" w:hAnsi="Aptos" w:cs="Times New Roman"/>
          <w:color w:val="212121"/>
          <w:kern w:val="0"/>
          <w:sz w:val="22"/>
          <w:szCs w:val="22"/>
          <w:lang w:val="en-US" w:eastAsia="en-GB"/>
          <w14:ligatures w14:val="none"/>
        </w:rPr>
        <w:t> This is important, but should move beyond comparing regulatory frameworks to examining implementation, complaints, remedies and institutional use. </w:t>
      </w:r>
      <w:r w:rsidRPr="00302F40">
        <w:rPr>
          <w:rFonts w:ascii="Aptos" w:eastAsia="Times New Roman" w:hAnsi="Aptos" w:cs="Times New Roman"/>
          <w:color w:val="212121"/>
          <w:kern w:val="0"/>
          <w:sz w:val="22"/>
          <w:szCs w:val="22"/>
          <w:lang w:eastAsia="en-GB"/>
          <w14:ligatures w14:val="none"/>
        </w:rPr>
        <w:t>Its division of labour with WP4 needs clarification.</w:t>
      </w:r>
    </w:p>
    <w:p w14:paraId="38872B48" w14:textId="77777777" w:rsidR="00302F40" w:rsidRPr="00302F40" w:rsidRDefault="00302F40" w:rsidP="00302F40">
      <w:pPr>
        <w:numPr>
          <w:ilvl w:val="0"/>
          <w:numId w:val="1"/>
        </w:num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WP9:</w:t>
      </w:r>
      <w:r w:rsidRPr="00302F40">
        <w:rPr>
          <w:rFonts w:ascii="Aptos" w:eastAsia="Times New Roman" w:hAnsi="Aptos" w:cs="Times New Roman"/>
          <w:color w:val="212121"/>
          <w:kern w:val="0"/>
          <w:sz w:val="22"/>
          <w:szCs w:val="22"/>
          <w:lang w:val="en-US" w:eastAsia="en-GB"/>
          <w14:ligatures w14:val="none"/>
        </w:rPr>
        <w:t> This addresses an explicit outcome of 04. It needs tangible commitments on shared resources, datasets, training and academia–industry collaboration.</w:t>
      </w:r>
    </w:p>
    <w:p w14:paraId="349441A6" w14:textId="77777777" w:rsidR="00302F40" w:rsidRPr="00302F40" w:rsidRDefault="00302F40" w:rsidP="00302F40">
      <w:pPr>
        <w:numPr>
          <w:ilvl w:val="0"/>
          <w:numId w:val="1"/>
        </w:num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WP10:</w:t>
      </w:r>
      <w:r w:rsidRPr="00302F40">
        <w:rPr>
          <w:rFonts w:ascii="Aptos" w:eastAsia="Times New Roman" w:hAnsi="Aptos" w:cs="Times New Roman"/>
          <w:color w:val="212121"/>
          <w:kern w:val="0"/>
          <w:sz w:val="22"/>
          <w:szCs w:val="22"/>
          <w:lang w:val="en-US" w:eastAsia="en-GB"/>
          <w14:ligatures w14:val="none"/>
        </w:rPr>
        <w:t> The Radar is attractive, but could promise more than we can measure. Indicator development should start at the beginning of the project. A country-level index alone will not identify the effects of AI.</w:t>
      </w:r>
    </w:p>
    <w:p w14:paraId="36A744A3" w14:textId="77777777" w:rsidR="00302F40" w:rsidRPr="00302F40" w:rsidRDefault="00302F40" w:rsidP="00302F40">
      <w:pPr>
        <w:numPr>
          <w:ilvl w:val="0"/>
          <w:numId w:val="1"/>
        </w:num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WP11:</w:t>
      </w:r>
      <w:r w:rsidRPr="00302F40">
        <w:rPr>
          <w:rFonts w:ascii="Aptos" w:eastAsia="Times New Roman" w:hAnsi="Aptos" w:cs="Times New Roman"/>
          <w:color w:val="212121"/>
          <w:kern w:val="0"/>
          <w:sz w:val="22"/>
          <w:szCs w:val="22"/>
          <w:lang w:val="en-US" w:eastAsia="en-GB"/>
          <w14:ligatures w14:val="none"/>
        </w:rPr>
        <w:t> Management, scientific synthesis and uptake all require clear responsibilities and resources. Dissemination activities will not, on their own, demonstrate that the results are being used.</w:t>
      </w:r>
    </w:p>
    <w:p w14:paraId="4A00F80E"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The schedule also needs more sequencing. Most empirical WPs run from month 6 to month 30. </w:t>
      </w:r>
      <w:r w:rsidRPr="006A0D02">
        <w:rPr>
          <w:rFonts w:ascii="Aptos" w:eastAsia="Times New Roman" w:hAnsi="Aptos" w:cs="Times New Roman"/>
          <w:color w:val="212121"/>
          <w:kern w:val="0"/>
          <w:sz w:val="22"/>
          <w:szCs w:val="22"/>
          <w:highlight w:val="yellow"/>
          <w:lang w:val="en-US" w:eastAsia="en-GB"/>
          <w14:ligatures w14:val="none"/>
        </w:rPr>
        <w:t>It is not clear how the diagnosis of harms informs tool development, how interventions are evaluated, and how the findings subsequently inform governance recommendations</w:t>
      </w:r>
      <w:r w:rsidRPr="00302F40">
        <w:rPr>
          <w:rFonts w:ascii="Aptos" w:eastAsia="Times New Roman" w:hAnsi="Aptos" w:cs="Times New Roman"/>
          <w:color w:val="212121"/>
          <w:kern w:val="0"/>
          <w:sz w:val="22"/>
          <w:szCs w:val="22"/>
          <w:lang w:val="en-US" w:eastAsia="en-GB"/>
          <w14:ligatures w14:val="none"/>
        </w:rPr>
        <w:t xml:space="preserve">. I would consider organising the work around a small number of shared empirical settings. For example, one could examine AI-enabled intimidation and unequal public participation; another synthetic political content and its amplification; and a third the effectiveness of protection, complaints and correction procedures. Several WPs would work on the same cases, with common data </w:t>
      </w:r>
      <w:r w:rsidRPr="00302F40">
        <w:rPr>
          <w:rFonts w:ascii="Aptos" w:eastAsia="Times New Roman" w:hAnsi="Aptos" w:cs="Times New Roman"/>
          <w:color w:val="212121"/>
          <w:kern w:val="0"/>
          <w:sz w:val="22"/>
          <w:szCs w:val="22"/>
          <w:lang w:val="en-US" w:eastAsia="en-GB"/>
          <w14:ligatures w14:val="none"/>
        </w:rPr>
        <w:lastRenderedPageBreak/>
        <w:t xml:space="preserve">and linked interventions. </w:t>
      </w:r>
      <w:r w:rsidRPr="006A0D02">
        <w:rPr>
          <w:rFonts w:ascii="Aptos" w:eastAsia="Times New Roman" w:hAnsi="Aptos" w:cs="Times New Roman"/>
          <w:color w:val="212121"/>
          <w:kern w:val="0"/>
          <w:sz w:val="22"/>
          <w:szCs w:val="22"/>
          <w:highlight w:val="yellow"/>
          <w:lang w:val="en-US" w:eastAsia="en-GB"/>
          <w14:ligatures w14:val="none"/>
        </w:rPr>
        <w:t>This would give the project more coherence than a series of largely parallel thematic studies.</w:t>
      </w:r>
    </w:p>
    <w:p w14:paraId="22391EEF"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0464753E"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WP4 and the political economy perspective</w:t>
      </w:r>
    </w:p>
    <w:p w14:paraId="1CF28AC4"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Thank you for the clarification about Andrew and Evgeny. I agree that political economy could add something important. What is still missing is a precise account of its role in the common argument. At present, WP4 brings together concentration of economic and infrastructural power, unequal control over data and visibility, knowledge production, and political repression. These subjects can be connected, but the connection needs to be made explicit. I would suggest a question along the following lines: </w:t>
      </w:r>
      <w:r w:rsidRPr="006A0D02">
        <w:rPr>
          <w:rFonts w:ascii="Aptos" w:eastAsia="Times New Roman" w:hAnsi="Aptos" w:cs="Times New Roman"/>
          <w:color w:val="212121"/>
          <w:kern w:val="0"/>
          <w:sz w:val="22"/>
          <w:szCs w:val="22"/>
          <w:highlight w:val="yellow"/>
          <w:lang w:val="en-US" w:eastAsia="en-GB"/>
          <w14:ligatures w14:val="none"/>
        </w:rPr>
        <w:t>how do power asymmetries between AI providers, public authorities and societal groups shape both the distribution of AI-enabled harms and the ability to secure effective protection and remedy?</w:t>
      </w:r>
    </w:p>
    <w:p w14:paraId="1FC2405F"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This could involve three linked tasks. The first would examine dependencies and control over data, infrastructure, access and distribution. The second would study political uses of AI for manipulation, intimidation or the restriction of public contestation. The third would examine when oversight bodies, courts, journalism and civil society can bring about correction.</w:t>
      </w:r>
    </w:p>
    <w:p w14:paraId="7A2C34B4"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The reference to Acemoglu, Gitmez and Shadmehr’s </w:t>
      </w:r>
      <w:r w:rsidRPr="00302F40">
        <w:rPr>
          <w:rFonts w:ascii="Aptos" w:eastAsia="Times New Roman" w:hAnsi="Aptos" w:cs="Times New Roman"/>
          <w:i/>
          <w:iCs/>
          <w:color w:val="212121"/>
          <w:kern w:val="0"/>
          <w:sz w:val="22"/>
          <w:szCs w:val="22"/>
          <w:lang w:val="en-US" w:eastAsia="en-GB"/>
          <w14:ligatures w14:val="none"/>
        </w:rPr>
        <w:t>Automation and Repression</w:t>
      </w:r>
      <w:r w:rsidRPr="00302F40">
        <w:rPr>
          <w:rFonts w:ascii="Aptos" w:eastAsia="Times New Roman" w:hAnsi="Aptos" w:cs="Times New Roman"/>
          <w:color w:val="212121"/>
          <w:kern w:val="0"/>
          <w:sz w:val="22"/>
          <w:szCs w:val="22"/>
          <w:lang w:val="en-US" w:eastAsia="en-GB"/>
          <w14:ligatures w14:val="none"/>
        </w:rPr>
        <w:t> is useful as a theoretical stimulus. However, the paper’s central mechanism concerns automation, distributional conflict and incentives for repression. This is not directly the same question as deepfakes, platform power or informational resilience. We would need to explain the bridge. Otherwise, we risk introducing another major research agenda alongside the existing project.</w:t>
      </w:r>
    </w:p>
    <w:p w14:paraId="0CEEE670"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I would not question Andrew’s or Evgeny’s involvement on the basis of the draft. I would ask what distinct task, evidence and analysis each would contribute. </w:t>
      </w:r>
      <w:r w:rsidRPr="006A0D02">
        <w:rPr>
          <w:rFonts w:ascii="Aptos" w:eastAsia="Times New Roman" w:hAnsi="Aptos" w:cs="Times New Roman"/>
          <w:color w:val="212121"/>
          <w:kern w:val="0"/>
          <w:sz w:val="22"/>
          <w:szCs w:val="22"/>
          <w:highlight w:val="yellow"/>
          <w:lang w:val="en-US" w:eastAsia="en-GB"/>
          <w14:ligatures w14:val="none"/>
        </w:rPr>
        <w:t>Depending on this division of work, task leadership might make more sense than several co-leads for the whole WP</w:t>
      </w:r>
      <w:r w:rsidRPr="00302F40">
        <w:rPr>
          <w:rFonts w:ascii="Aptos" w:eastAsia="Times New Roman" w:hAnsi="Aptos" w:cs="Times New Roman"/>
          <w:color w:val="212121"/>
          <w:kern w:val="0"/>
          <w:sz w:val="22"/>
          <w:szCs w:val="22"/>
          <w:lang w:val="en-US" w:eastAsia="en-GB"/>
          <w14:ligatures w14:val="none"/>
        </w:rPr>
        <w:t>. The same principle should apply across the consortium.</w:t>
      </w:r>
    </w:p>
    <w:p w14:paraId="440B12B5"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77D9702F"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The EU–Australia consortium</w:t>
      </w:r>
    </w:p>
    <w:p w14:paraId="6BB1B162"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The group has clear strengths in democratic resilience, comparative data, political communication and deliberation. The Australian component could be a real asset. </w:t>
      </w:r>
      <w:r w:rsidRPr="006A0D02">
        <w:rPr>
          <w:rFonts w:ascii="Aptos" w:eastAsia="Times New Roman" w:hAnsi="Aptos" w:cs="Times New Roman"/>
          <w:color w:val="212121"/>
          <w:kern w:val="0"/>
          <w:sz w:val="22"/>
          <w:szCs w:val="22"/>
          <w:highlight w:val="yellow"/>
          <w:lang w:val="en-US" w:eastAsia="en-GB"/>
          <w14:ligatures w14:val="none"/>
        </w:rPr>
        <w:t>My concern is the combination of a concentration of leadership roles in Australia, particularly Melbourne, with important European and applied competencies still to be filled.</w:t>
      </w:r>
      <w:r w:rsidRPr="00302F40">
        <w:rPr>
          <w:rFonts w:ascii="Aptos" w:eastAsia="Times New Roman" w:hAnsi="Aptos" w:cs="Times New Roman"/>
          <w:color w:val="212121"/>
          <w:kern w:val="0"/>
          <w:sz w:val="22"/>
          <w:szCs w:val="22"/>
          <w:lang w:val="en-US" w:eastAsia="en-GB"/>
          <w14:ligatures w14:val="none"/>
        </w:rPr>
        <w:t xml:space="preserve"> The draft identifies eleven Australian lead or co-lead roles, seven of them at Melbourne, </w:t>
      </w:r>
      <w:r w:rsidRPr="006A0D02">
        <w:rPr>
          <w:rFonts w:ascii="Aptos" w:eastAsia="Times New Roman" w:hAnsi="Aptos" w:cs="Times New Roman"/>
          <w:color w:val="212121"/>
          <w:kern w:val="0"/>
          <w:sz w:val="22"/>
          <w:szCs w:val="22"/>
          <w:highlight w:val="yellow"/>
          <w:lang w:val="en-US" w:eastAsia="en-GB"/>
          <w14:ligatures w14:val="none"/>
        </w:rPr>
        <w:t>while some of the most call-specific positions remain open.</w:t>
      </w:r>
    </w:p>
    <w:p w14:paraId="1AEEF59D"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The priority should therefore be to fill functional gaps. In particular, I would look for stronger and more explicit participation in research on gendered and sexualised digital violence, affected communities and youth, technical implementation, European legal and regulatory practice, and organisations that can host and use the interventions.</w:t>
      </w:r>
    </w:p>
    <w:p w14:paraId="5C5148FF"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Southern and Eastern European partners could contribute a great deal here. I would recruit them for their expertise, languages, institutional contexts and access, with geographical balance supporting this choice. Adding a colleague from an underrepresented region does not by itself solve a substantive gap.</w:t>
      </w:r>
    </w:p>
    <w:p w14:paraId="356A4AFC"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Counting leadership positions is only a rough guide to balance, in any case. We should also look at budgets, staff time, decision rights, responsibility for core outputs and access to data. The institutional and geographical attribution of some partners, including International IDEA, should be clarified on the basis of the entity actually participating.</w:t>
      </w:r>
    </w:p>
    <w:p w14:paraId="49CB720C"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Australia’s planned association to Horizon Europe makes participation more promising. The negotiations concluded in June, although the treaty procedures still need to be completed for the planned association in 2027 (right?). Funding and coordination arrangements should therefore be confirmed before final responsibilities are allocated.</w:t>
      </w:r>
    </w:p>
    <w:p w14:paraId="1CE321A9" w14:textId="77777777" w:rsidR="00302F40" w:rsidRPr="00302F40" w:rsidRDefault="00302F40" w:rsidP="00302F40">
      <w:pPr>
        <w:rPr>
          <w:rFonts w:ascii="Aptos" w:eastAsia="Times New Roman" w:hAnsi="Aptos" w:cs="Times New Roman"/>
          <w:color w:val="212121"/>
          <w:kern w:val="0"/>
          <w:lang w:eastAsia="en-GB"/>
          <w14:ligatures w14:val="none"/>
        </w:rPr>
      </w:pPr>
      <w:r w:rsidRPr="006A0D02">
        <w:rPr>
          <w:rFonts w:ascii="Aptos" w:eastAsia="Times New Roman" w:hAnsi="Aptos" w:cs="Times New Roman"/>
          <w:color w:val="212121"/>
          <w:kern w:val="0"/>
          <w:sz w:val="22"/>
          <w:szCs w:val="22"/>
          <w:highlight w:val="yellow"/>
          <w:lang w:val="en-US" w:eastAsia="en-GB"/>
          <w14:ligatures w14:val="none"/>
        </w:rPr>
        <w:lastRenderedPageBreak/>
        <w:t>I would also consider European coordination as a practical option, depending on administrative experience and the eventual institutional arrangements. This would be about implementation and access to European users, while retaining strong Australian scientific leadership</w:t>
      </w:r>
      <w:r w:rsidRPr="00302F40">
        <w:rPr>
          <w:rFonts w:ascii="Aptos" w:eastAsia="Times New Roman" w:hAnsi="Aptos" w:cs="Times New Roman"/>
          <w:color w:val="212121"/>
          <w:kern w:val="0"/>
          <w:sz w:val="22"/>
          <w:szCs w:val="22"/>
          <w:lang w:val="en-US" w:eastAsia="en-GB"/>
          <w14:ligatures w14:val="none"/>
        </w:rPr>
        <w:t>.</w:t>
      </w:r>
    </w:p>
    <w:p w14:paraId="508F0811"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1A354C72"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The comparative design</w:t>
      </w:r>
    </w:p>
    <w:p w14:paraId="09C263D8"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The EU–Australia comparison is promising, but </w:t>
      </w:r>
      <w:r w:rsidRPr="006A0D02">
        <w:rPr>
          <w:rFonts w:ascii="Aptos" w:eastAsia="Times New Roman" w:hAnsi="Aptos" w:cs="Times New Roman"/>
          <w:color w:val="212121"/>
          <w:kern w:val="0"/>
          <w:sz w:val="22"/>
          <w:szCs w:val="22"/>
          <w:highlight w:val="yellow"/>
          <w:lang w:val="en-US" w:eastAsia="en-GB"/>
          <w14:ligatures w14:val="none"/>
        </w:rPr>
        <w:t>the broader extension to Southeast Asia and the Pacific needs a sharper rationale.</w:t>
      </w:r>
      <w:r w:rsidRPr="00302F40">
        <w:rPr>
          <w:rFonts w:ascii="Aptos" w:eastAsia="Times New Roman" w:hAnsi="Aptos" w:cs="Times New Roman"/>
          <w:color w:val="212121"/>
          <w:kern w:val="0"/>
          <w:sz w:val="22"/>
          <w:szCs w:val="22"/>
          <w:lang w:val="en-US" w:eastAsia="en-GB"/>
          <w14:ligatures w14:val="none"/>
        </w:rPr>
        <w:t xml:space="preserve"> The claim that this design will produce tools robust across regulatory regimes is currently ahead of the design itself. Geographical diversity does not automatically establish transferability. The distinction between consolidated EU/Australian democracies and hybrid or backsliding Southeast Asian/Pacific cases is also too broad. There is considerable variation within these regions. The claim that AI’s disruptive potential is least constrained in the latter settings would need evidence. I would favour European core cases selected for relevant variation in language, political context and protection capacity; Australia as a focused comparison using common protocols; and a small number of additional cases to test specific mechanisms under different institutional conditions. For a three-year project of this size, I would be reluctant to promise a broad diagnosis of both Southeast Asia and the Pacific. Work there should involve local expertise and meaningful local participation in the research design.</w:t>
      </w:r>
    </w:p>
    <w:p w14:paraId="017D1251"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36344D6C"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Research questions, measurement and practical use</w:t>
      </w:r>
    </w:p>
    <w:p w14:paraId="0F8AF138" w14:textId="77777777" w:rsidR="00302F40" w:rsidRPr="00302F40" w:rsidRDefault="00302F40" w:rsidP="00302F40">
      <w:pPr>
        <w:rPr>
          <w:rFonts w:ascii="Aptos" w:eastAsia="Times New Roman" w:hAnsi="Aptos" w:cs="Times New Roman"/>
          <w:color w:val="212121"/>
          <w:kern w:val="0"/>
          <w:lang w:eastAsia="en-GB"/>
          <w14:ligatures w14:val="none"/>
        </w:rPr>
      </w:pPr>
      <w:r w:rsidRPr="006A0D02">
        <w:rPr>
          <w:rFonts w:ascii="Aptos" w:eastAsia="Times New Roman" w:hAnsi="Aptos" w:cs="Times New Roman"/>
          <w:color w:val="212121"/>
          <w:kern w:val="0"/>
          <w:sz w:val="22"/>
          <w:szCs w:val="22"/>
          <w:highlight w:val="yellow"/>
          <w:lang w:val="en-US" w:eastAsia="en-GB"/>
          <w14:ligatures w14:val="none"/>
        </w:rPr>
        <w:t>The proposal would become stronger if it stated a few expectations that could be tested and potentially disproved</w:t>
      </w:r>
      <w:r w:rsidRPr="00302F40">
        <w:rPr>
          <w:rFonts w:ascii="Aptos" w:eastAsia="Times New Roman" w:hAnsi="Aptos" w:cs="Times New Roman"/>
          <w:color w:val="212121"/>
          <w:kern w:val="0"/>
          <w:sz w:val="22"/>
          <w:szCs w:val="22"/>
          <w:lang w:val="en-US" w:eastAsia="en-GB"/>
          <w14:ligatures w14:val="none"/>
        </w:rPr>
        <w:t>. For example, AI-enabled intimidation may reduce participation particularly where support and complaints procedures are weak. Verification may improve judgements without preventing withdrawal from public life. AI-assisted consultation may widen influence only where institutions are obliged to respond to the resulting input. We should also distinguish AI-specific effects from existing problems of digital communication and political inequality. Depending on the study, comparisons could involve human-produced manipulation, established moderation procedures, or similar processes without AI assistance.</w:t>
      </w:r>
    </w:p>
    <w:p w14:paraId="6054AD23"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For the Radar, I would begin with a transparent set of indicators separating exposure, harms, protective capacities and actual responses. A broad national resilience score might conceal important differences and imply more causal precision than the data permit.</w:t>
      </w:r>
    </w:p>
    <w:p w14:paraId="2B82EF9B"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Trust also needs unpacking. Trust in democracy, government, media and AI are different things. Exposing real misconduct may lower trust in a particular institution while strengthening democratic accountability.</w:t>
      </w:r>
    </w:p>
    <w:p w14:paraId="592EE99E"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On impact, we should identify specific users for each central output. A tool should have an organisation willing to test it in practice; a governance recommendation should connect to an actual administrative or oversight procedure; a literacy intervention should have a host and an evaluation design. </w:t>
      </w:r>
      <w:r w:rsidRPr="006A0D02">
        <w:rPr>
          <w:rFonts w:ascii="Aptos" w:eastAsia="Times New Roman" w:hAnsi="Aptos" w:cs="Times New Roman"/>
          <w:color w:val="212121"/>
          <w:kern w:val="0"/>
          <w:sz w:val="22"/>
          <w:szCs w:val="22"/>
          <w:highlight w:val="yellow"/>
          <w:lang w:val="en-US" w:eastAsia="en-GB"/>
          <w14:ligatures w14:val="none"/>
        </w:rPr>
        <w:t>We also need to establish what can be reused from previous EU projects. Another general deepfake detector would be difficult to justify without a clear additional contribution.</w:t>
      </w:r>
      <w:r w:rsidRPr="00302F40">
        <w:rPr>
          <w:rFonts w:ascii="Aptos" w:eastAsia="Times New Roman" w:hAnsi="Aptos" w:cs="Times New Roman"/>
          <w:color w:val="212121"/>
          <w:kern w:val="0"/>
          <w:sz w:val="22"/>
          <w:szCs w:val="22"/>
          <w:lang w:val="en-US" w:eastAsia="en-GB"/>
          <w14:ligatures w14:val="none"/>
        </w:rPr>
        <w:t xml:space="preserve"> That contribution might concern underrepresented languages, unequal error costs, affected users or the connection between detection and effective remedy.</w:t>
      </w:r>
    </w:p>
    <w:p w14:paraId="77C54A35"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One possible Southern European contact worth exploring is </w:t>
      </w:r>
      <w:r w:rsidRPr="006A0D02">
        <w:rPr>
          <w:rFonts w:ascii="Aptos" w:eastAsia="Times New Roman" w:hAnsi="Aptos" w:cs="Times New Roman"/>
          <w:color w:val="212121"/>
          <w:kern w:val="0"/>
          <w:sz w:val="22"/>
          <w:szCs w:val="22"/>
          <w:highlight w:val="yellow"/>
          <w:lang w:val="en-US" w:eastAsia="en-GB"/>
          <w14:ligatures w14:val="none"/>
        </w:rPr>
        <w:t>Carlos Castillo and the relevant group at Pompeu Fabra.</w:t>
      </w:r>
      <w:r w:rsidRPr="00302F40">
        <w:rPr>
          <w:rFonts w:ascii="Aptos" w:eastAsia="Times New Roman" w:hAnsi="Aptos" w:cs="Times New Roman"/>
          <w:color w:val="212121"/>
          <w:kern w:val="0"/>
          <w:sz w:val="22"/>
          <w:szCs w:val="22"/>
          <w:lang w:val="en-US" w:eastAsia="en-GB"/>
          <w14:ligatures w14:val="none"/>
        </w:rPr>
        <w:t xml:space="preserve"> Their work on algorithmic fairness and the FINDHR project looks relevant to technical research, discrimination and collaboration with industry. This is a suggestion to investigate, rather than a judgement about availability or fit with the whole cyberviolence agenda. </w:t>
      </w:r>
      <w:r w:rsidRPr="006A0D02">
        <w:rPr>
          <w:rFonts w:ascii="Aptos" w:eastAsia="Times New Roman" w:hAnsi="Aptos" w:cs="Times New Roman"/>
          <w:color w:val="212121"/>
          <w:kern w:val="0"/>
          <w:sz w:val="22"/>
          <w:szCs w:val="22"/>
          <w:highlight w:val="yellow"/>
          <w:lang w:val="en-US" w:eastAsia="en-GB"/>
          <w14:ligatures w14:val="none"/>
        </w:rPr>
        <w:t>More generally, I would first define the missing role and then identify the person.</w:t>
      </w:r>
    </w:p>
    <w:p w14:paraId="66BCBE1A"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71D5C608"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Where I could contribute</w:t>
      </w:r>
    </w:p>
    <w:p w14:paraId="311B11E6"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lastRenderedPageBreak/>
        <w:t xml:space="preserve">Having thought about the proposed role, </w:t>
      </w:r>
      <w:r w:rsidRPr="006A0D02">
        <w:rPr>
          <w:rFonts w:ascii="Aptos" w:eastAsia="Times New Roman" w:hAnsi="Aptos" w:cs="Times New Roman"/>
          <w:color w:val="212121"/>
          <w:kern w:val="0"/>
          <w:sz w:val="22"/>
          <w:szCs w:val="22"/>
          <w:highlight w:val="yellow"/>
          <w:lang w:val="en-US" w:eastAsia="en-GB"/>
          <w14:ligatures w14:val="none"/>
        </w:rPr>
        <w:t>I see my strongest contribution in WP1 and a more focused version of WP4.</w:t>
      </w:r>
      <w:r w:rsidRPr="00302F40">
        <w:rPr>
          <w:rFonts w:ascii="Aptos" w:eastAsia="Times New Roman" w:hAnsi="Aptos" w:cs="Times New Roman"/>
          <w:color w:val="212121"/>
          <w:kern w:val="0"/>
          <w:sz w:val="22"/>
          <w:szCs w:val="22"/>
          <w:lang w:val="en-US" w:eastAsia="en-GB"/>
          <w14:ligatures w14:val="none"/>
        </w:rPr>
        <w:t xml:space="preserve"> WP8 would be a useful connection, and I could contribute to the conceptual work behind WP10.</w:t>
      </w:r>
    </w:p>
    <w:p w14:paraId="768A7B18"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My research is concerned with democratic regression and resilience, the activation of accountability, and the interaction between political institutions, parties and civil society. The question I could most usefully bring to this project is </w:t>
      </w:r>
      <w:r w:rsidRPr="006A0D02">
        <w:rPr>
          <w:rFonts w:ascii="Aptos" w:eastAsia="Times New Roman" w:hAnsi="Aptos" w:cs="Times New Roman"/>
          <w:color w:val="212121"/>
          <w:kern w:val="0"/>
          <w:sz w:val="22"/>
          <w:szCs w:val="22"/>
          <w:highlight w:val="yellow"/>
          <w:lang w:val="en-US" w:eastAsia="en-GB"/>
          <w14:ligatures w14:val="none"/>
        </w:rPr>
        <w:t>why existing democratic capacities are activated in some circumstances, but remain ineffective in others.</w:t>
      </w:r>
    </w:p>
    <w:p w14:paraId="39A1400E"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For WP1, I could take responsibility for a task on democratic resilience and the comparative research design. This would cover the distinction between pressures, capacities, mechanisms and outcomes; preventive and reactive resilience; and the conditions under which informational changes affect democratic safeguards. I think this should be a substantive role in developing the framework, rather than an advisory contribution later on.</w:t>
      </w:r>
    </w:p>
    <w:p w14:paraId="7A2327FB" w14:textId="77777777" w:rsidR="00302F40" w:rsidRPr="00302F40" w:rsidRDefault="00302F40" w:rsidP="00302F40">
      <w:pPr>
        <w:rPr>
          <w:rFonts w:ascii="Aptos" w:eastAsia="Times New Roman" w:hAnsi="Aptos" w:cs="Times New Roman"/>
          <w:color w:val="212121"/>
          <w:kern w:val="0"/>
          <w:lang w:eastAsia="en-GB"/>
          <w14:ligatures w14:val="none"/>
        </w:rPr>
      </w:pPr>
      <w:r w:rsidRPr="006A0D02">
        <w:rPr>
          <w:rFonts w:ascii="Aptos" w:eastAsia="Times New Roman" w:hAnsi="Aptos" w:cs="Times New Roman"/>
          <w:color w:val="212121"/>
          <w:kern w:val="0"/>
          <w:sz w:val="22"/>
          <w:szCs w:val="22"/>
          <w:highlight w:val="yellow"/>
          <w:lang w:val="en-US" w:eastAsia="en-GB"/>
          <w14:ligatures w14:val="none"/>
        </w:rPr>
        <w:t>For WP4, I would be comfortable discussing a lead role if we adjust the focus towards political power, unequal participation and the activation of democratic safeguards. A possible working title would be “AI, political power and democratic safeguards”.</w:t>
      </w:r>
    </w:p>
    <w:p w14:paraId="31C1D2A7"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The central question could be: </w:t>
      </w:r>
      <w:r w:rsidRPr="003B3D7F">
        <w:rPr>
          <w:rFonts w:ascii="Aptos" w:eastAsia="Times New Roman" w:hAnsi="Aptos" w:cs="Times New Roman"/>
          <w:color w:val="212121"/>
          <w:kern w:val="0"/>
          <w:sz w:val="22"/>
          <w:szCs w:val="22"/>
          <w:highlight w:val="yellow"/>
          <w:lang w:val="en-US" w:eastAsia="en-GB"/>
          <w14:ligatures w14:val="none"/>
        </w:rPr>
        <w:t>under what conditions can democratic institutions and societal actors effectively constrain the use of AI for manipulation, intimidation and the restriction of participation?</w:t>
      </w:r>
    </w:p>
    <w:p w14:paraId="73BB1DEB"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This would connect directly with my work on democratic resilience, parties and accountability. It would also allow us to compare successful and unsuccessful responses to similar technological challenges, and explain why the same capabilities have different political consequences across contexts. A political economy co-lead could examine resources, commercial dependencies and the incentives of firms and state actors. I could focus on political strategies, institutional constraints and the mobilisation of countervailing actors. This seems a productive division of labour, provided the tasks and shared evidence are specified.</w:t>
      </w:r>
    </w:p>
    <w:p w14:paraId="6C77A49F"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By contrast, I would be less well placed to lead a WP primarily concerned with data concentration, platform economics, epistemic rights or technical auditing. These are important subjects, but they are not the core of my expertise. My contribution to WP8 would concern the political effectiveness of formal safeguards: why similar rules lead to meaningful oversight and correction in some settings but not in others. I could also help WP10 distinguish indicators of available protection from indicators showing that protection has actually been activated.</w:t>
      </w:r>
    </w:p>
    <w:p w14:paraId="44F36950"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If WP4 retains its present emphasis, an alternative would be a clearly defined task on democratic safeguards and accountability activation within the existing structure. Given the number of WPs already proposed, I would not immediately suggest adding another one.</w:t>
      </w:r>
    </w:p>
    <w:p w14:paraId="491BFE26"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Finally, my East and Southeast Asian expertise could support the comparative work, but I would prefer not to define my role mainly as responsibility for additional regional case studies. I think I could contribute more to the project’s theoretical and comparative core, with regional expertise supporting that contribution.</w:t>
      </w:r>
    </w:p>
    <w:p w14:paraId="51F1DAB6"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466048F7"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b/>
          <w:bCs/>
          <w:color w:val="212121"/>
          <w:kern w:val="0"/>
          <w:sz w:val="22"/>
          <w:szCs w:val="22"/>
          <w:lang w:val="en-US" w:eastAsia="en-GB"/>
          <w14:ligatures w14:val="none"/>
        </w:rPr>
        <w:t>Way ahead</w:t>
      </w:r>
    </w:p>
    <w:p w14:paraId="76DC0531"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For the December workshop, I would suggest that we aim </w:t>
      </w:r>
      <w:r w:rsidRPr="003B3D7F">
        <w:rPr>
          <w:rFonts w:ascii="Aptos" w:eastAsia="Times New Roman" w:hAnsi="Aptos" w:cs="Times New Roman"/>
          <w:color w:val="212121"/>
          <w:kern w:val="0"/>
          <w:sz w:val="22"/>
          <w:szCs w:val="22"/>
          <w:highlight w:val="yellow"/>
          <w:lang w:val="en-US" w:eastAsia="en-GB"/>
          <w14:ligatures w14:val="none"/>
        </w:rPr>
        <w:t>to settle the main call</w:t>
      </w:r>
      <w:r w:rsidRPr="00302F40">
        <w:rPr>
          <w:rFonts w:ascii="Aptos" w:eastAsia="Times New Roman" w:hAnsi="Aptos" w:cs="Times New Roman"/>
          <w:color w:val="212121"/>
          <w:kern w:val="0"/>
          <w:sz w:val="22"/>
          <w:szCs w:val="22"/>
          <w:lang w:val="en-US" w:eastAsia="en-GB"/>
          <w14:ligatures w14:val="none"/>
        </w:rPr>
        <w:t xml:space="preserve">, </w:t>
      </w:r>
      <w:r w:rsidRPr="003B3D7F">
        <w:rPr>
          <w:rFonts w:ascii="Aptos" w:eastAsia="Times New Roman" w:hAnsi="Aptos" w:cs="Times New Roman"/>
          <w:color w:val="212121"/>
          <w:kern w:val="0"/>
          <w:sz w:val="22"/>
          <w:szCs w:val="22"/>
          <w:highlight w:val="yellow"/>
          <w:lang w:val="en-US" w:eastAsia="en-GB"/>
          <w14:ligatures w14:val="none"/>
        </w:rPr>
        <w:t>a limited number of shared empirical problems, the missing competencies and partners, and a realistic division of resources.</w:t>
      </w:r>
      <w:r w:rsidRPr="00302F40">
        <w:rPr>
          <w:rFonts w:ascii="Aptos" w:eastAsia="Times New Roman" w:hAnsi="Aptos" w:cs="Times New Roman"/>
          <w:color w:val="212121"/>
          <w:kern w:val="0"/>
          <w:sz w:val="22"/>
          <w:szCs w:val="22"/>
          <w:lang w:val="en-US" w:eastAsia="en-GB"/>
          <w14:ligatures w14:val="none"/>
        </w:rPr>
        <w:t xml:space="preserve"> This would give us a clearer basis for deciding which WPs to retain, combine or narrow. I would also like to mention that we should have a few colleagues on board with substantial experience in preparing and running EU-funded collaborative projects, </w:t>
      </w:r>
      <w:r w:rsidRPr="003B3D7F">
        <w:rPr>
          <w:rFonts w:ascii="Aptos" w:eastAsia="Times New Roman" w:hAnsi="Aptos" w:cs="Times New Roman"/>
          <w:color w:val="212121"/>
          <w:kern w:val="0"/>
          <w:sz w:val="22"/>
          <w:szCs w:val="22"/>
          <w:highlight w:val="yellow"/>
          <w:lang w:val="en-US" w:eastAsia="en-GB"/>
          <w14:ligatures w14:val="none"/>
        </w:rPr>
        <w:t>ideally including someone who has coordinated a Horizon consortium.</w:t>
      </w:r>
      <w:r w:rsidRPr="00302F40">
        <w:rPr>
          <w:rFonts w:ascii="Aptos" w:eastAsia="Times New Roman" w:hAnsi="Aptos" w:cs="Times New Roman"/>
          <w:color w:val="212121"/>
          <w:kern w:val="0"/>
          <w:sz w:val="22"/>
          <w:szCs w:val="22"/>
          <w:lang w:val="en-US" w:eastAsia="en-GB"/>
          <w14:ligatures w14:val="none"/>
        </w:rPr>
        <w:t xml:space="preserve"> This should be another consideration when filling the remaining gaps. Such experience would help us turn a strong research idea into a competitive proposal: connecting the research objectives, work packages, resources and expected outcomes, developing credible pathways to uptake, and avoiding commitments that are difficult to deliver. Colleagues who have managed these projects would also bring practical knowledge of consortium governance, reporting and the coordination of </w:t>
      </w:r>
      <w:r w:rsidRPr="00302F40">
        <w:rPr>
          <w:rFonts w:ascii="Aptos" w:eastAsia="Times New Roman" w:hAnsi="Aptos" w:cs="Times New Roman"/>
          <w:color w:val="212121"/>
          <w:kern w:val="0"/>
          <w:sz w:val="22"/>
          <w:szCs w:val="22"/>
          <w:lang w:val="en-US" w:eastAsia="en-GB"/>
          <w14:ligatures w14:val="none"/>
        </w:rPr>
        <w:lastRenderedPageBreak/>
        <w:t>partners with different institutional requirements. This might  strengthen both the application and, especially, our ability to demonstrate that the project is feasible.</w:t>
      </w:r>
    </w:p>
    <w:p w14:paraId="71C0245B"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xml:space="preserve">I hope these comments are useful. I remain very interested in the collaboration. For me, </w:t>
      </w:r>
      <w:r w:rsidRPr="003B3D7F">
        <w:rPr>
          <w:rFonts w:ascii="Aptos" w:eastAsia="Times New Roman" w:hAnsi="Aptos" w:cs="Times New Roman"/>
          <w:color w:val="212121"/>
          <w:kern w:val="0"/>
          <w:sz w:val="22"/>
          <w:szCs w:val="22"/>
          <w:highlight w:val="yellow"/>
          <w:lang w:val="en-US" w:eastAsia="en-GB"/>
          <w14:ligatures w14:val="none"/>
        </w:rPr>
        <w:t>the most promising contribution would be to explain when AI-enabled harms translate into unequal participation and weakened democratic control, and when institutions and societal actors can interrupt that process.</w:t>
      </w:r>
      <w:r w:rsidRPr="00302F40">
        <w:rPr>
          <w:rFonts w:ascii="Aptos" w:eastAsia="Times New Roman" w:hAnsi="Aptos" w:cs="Times New Roman"/>
          <w:color w:val="212121"/>
          <w:kern w:val="0"/>
          <w:sz w:val="22"/>
          <w:szCs w:val="22"/>
          <w:lang w:val="en-US" w:eastAsia="en-GB"/>
          <w14:ligatures w14:val="none"/>
        </w:rPr>
        <w:t xml:space="preserve"> This would give the framework, the empirical work and the practical interventions a common purpose.</w:t>
      </w:r>
    </w:p>
    <w:p w14:paraId="733FA520"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6BAEB662"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eastAsia="en-GB"/>
          <w14:ligatures w14:val="none"/>
        </w:rPr>
        <w:t>Best wishes,</w:t>
      </w:r>
    </w:p>
    <w:p w14:paraId="2897ADE3"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eastAsia="en-GB"/>
          <w14:ligatures w14:val="none"/>
        </w:rPr>
        <w:t> </w:t>
      </w:r>
    </w:p>
    <w:p w14:paraId="5DF6A0AD"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eastAsia="en-GB"/>
          <w14:ligatures w14:val="none"/>
        </w:rPr>
        <w:t>Aurel</w:t>
      </w:r>
    </w:p>
    <w:p w14:paraId="597EE410"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eastAsia="en-GB"/>
          <w14:ligatures w14:val="none"/>
        </w:rPr>
        <w:t> </w:t>
      </w:r>
    </w:p>
    <w:p w14:paraId="74002422" w14:textId="77777777" w:rsidR="00302F40" w:rsidRPr="00302F40" w:rsidRDefault="00302F40" w:rsidP="00302F40">
      <w:pPr>
        <w:rPr>
          <w:rFonts w:ascii="Aptos" w:eastAsia="Times New Roman" w:hAnsi="Aptos" w:cs="Times New Roman"/>
          <w:color w:val="212121"/>
          <w:kern w:val="0"/>
          <w:lang w:eastAsia="en-GB"/>
          <w14:ligatures w14:val="none"/>
        </w:rPr>
      </w:pPr>
      <w:r w:rsidRPr="00302F40">
        <w:rPr>
          <w:rFonts w:ascii="Aptos" w:eastAsia="Times New Roman" w:hAnsi="Aptos" w:cs="Times New Roman"/>
          <w:color w:val="212121"/>
          <w:kern w:val="0"/>
          <w:sz w:val="22"/>
          <w:szCs w:val="22"/>
          <w:lang w:val="en-US" w:eastAsia="en-GB"/>
          <w14:ligatures w14:val="none"/>
        </w:rPr>
        <w:t> </w:t>
      </w:r>
    </w:p>
    <w:p w14:paraId="02C807D0" w14:textId="77777777" w:rsidR="00125DEC" w:rsidRDefault="00125DEC"/>
    <w:sectPr w:rsidR="00125DE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eraphine Maerz" w:date="2026-10-20T09:30:00Z" w:initials="SM">
    <w:p w14:paraId="5C00C44C" w14:textId="77777777" w:rsidR="00545DA8" w:rsidRDefault="00545DA8" w:rsidP="00545DA8">
      <w:r>
        <w:rPr>
          <w:rStyle w:val="CommentReference"/>
        </w:rPr>
        <w:annotationRef/>
      </w:r>
      <w:r>
        <w:rPr>
          <w:sz w:val="20"/>
          <w:szCs w:val="20"/>
        </w:rPr>
        <w:t xml:space="preserve">Filippo has contacts to the Italian school system, maybe a survey on sexualised cyberviolence among young people can be done...?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C00C4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1E3D03A" w16cex:dateUtc="2026-10-19T2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C00C44C" w16cid:durableId="71E3D0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CF2B7C"/>
    <w:multiLevelType w:val="multilevel"/>
    <w:tmpl w:val="BC5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89770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eraphine Maerz">
    <w15:presenceInfo w15:providerId="AD" w15:userId="S::seraphine.maerz@unimelb.edu.au::4feade39-31e1-4165-8606-bd94ba2c25d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F40"/>
    <w:rsid w:val="00125DEC"/>
    <w:rsid w:val="00302F40"/>
    <w:rsid w:val="003B3D7F"/>
    <w:rsid w:val="00545DA8"/>
    <w:rsid w:val="00645989"/>
    <w:rsid w:val="006A0D02"/>
    <w:rsid w:val="006E7D7D"/>
    <w:rsid w:val="0070416C"/>
    <w:rsid w:val="00840FE0"/>
    <w:rsid w:val="009B2CEB"/>
    <w:rsid w:val="00AE13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CA83A8A"/>
  <w15:chartTrackingRefBased/>
  <w15:docId w15:val="{3AF4FB56-04FA-D54D-9C5D-664BE1266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F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F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F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F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F40"/>
    <w:rPr>
      <w:rFonts w:eastAsiaTheme="majorEastAsia" w:cstheme="majorBidi"/>
      <w:color w:val="272727" w:themeColor="text1" w:themeTint="D8"/>
    </w:rPr>
  </w:style>
  <w:style w:type="paragraph" w:styleId="Title">
    <w:name w:val="Title"/>
    <w:basedOn w:val="Normal"/>
    <w:next w:val="Normal"/>
    <w:link w:val="TitleChar"/>
    <w:uiPriority w:val="10"/>
    <w:qFormat/>
    <w:rsid w:val="00302F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F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F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2F40"/>
    <w:rPr>
      <w:i/>
      <w:iCs/>
      <w:color w:val="404040" w:themeColor="text1" w:themeTint="BF"/>
    </w:rPr>
  </w:style>
  <w:style w:type="paragraph" w:styleId="ListParagraph">
    <w:name w:val="List Paragraph"/>
    <w:basedOn w:val="Normal"/>
    <w:uiPriority w:val="34"/>
    <w:qFormat/>
    <w:rsid w:val="00302F40"/>
    <w:pPr>
      <w:ind w:left="720"/>
      <w:contextualSpacing/>
    </w:pPr>
  </w:style>
  <w:style w:type="character" w:styleId="IntenseEmphasis">
    <w:name w:val="Intense Emphasis"/>
    <w:basedOn w:val="DefaultParagraphFont"/>
    <w:uiPriority w:val="21"/>
    <w:qFormat/>
    <w:rsid w:val="00302F40"/>
    <w:rPr>
      <w:i/>
      <w:iCs/>
      <w:color w:val="0F4761" w:themeColor="accent1" w:themeShade="BF"/>
    </w:rPr>
  </w:style>
  <w:style w:type="paragraph" w:styleId="IntenseQuote">
    <w:name w:val="Intense Quote"/>
    <w:basedOn w:val="Normal"/>
    <w:next w:val="Normal"/>
    <w:link w:val="IntenseQuoteChar"/>
    <w:uiPriority w:val="30"/>
    <w:qFormat/>
    <w:rsid w:val="00302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F40"/>
    <w:rPr>
      <w:i/>
      <w:iCs/>
      <w:color w:val="0F4761" w:themeColor="accent1" w:themeShade="BF"/>
    </w:rPr>
  </w:style>
  <w:style w:type="character" w:styleId="IntenseReference">
    <w:name w:val="Intense Reference"/>
    <w:basedOn w:val="DefaultParagraphFont"/>
    <w:uiPriority w:val="32"/>
    <w:qFormat/>
    <w:rsid w:val="00302F40"/>
    <w:rPr>
      <w:b/>
      <w:bCs/>
      <w:smallCaps/>
      <w:color w:val="0F4761" w:themeColor="accent1" w:themeShade="BF"/>
      <w:spacing w:val="5"/>
    </w:rPr>
  </w:style>
  <w:style w:type="character" w:customStyle="1" w:styleId="apple-converted-space">
    <w:name w:val="apple-converted-space"/>
    <w:basedOn w:val="DefaultParagraphFont"/>
    <w:rsid w:val="00302F40"/>
  </w:style>
  <w:style w:type="character" w:styleId="CommentReference">
    <w:name w:val="annotation reference"/>
    <w:basedOn w:val="DefaultParagraphFont"/>
    <w:uiPriority w:val="99"/>
    <w:semiHidden/>
    <w:unhideWhenUsed/>
    <w:rsid w:val="00545DA8"/>
    <w:rPr>
      <w:sz w:val="16"/>
      <w:szCs w:val="16"/>
    </w:rPr>
  </w:style>
  <w:style w:type="paragraph" w:styleId="CommentText">
    <w:name w:val="annotation text"/>
    <w:basedOn w:val="Normal"/>
    <w:link w:val="CommentTextChar"/>
    <w:uiPriority w:val="99"/>
    <w:semiHidden/>
    <w:unhideWhenUsed/>
    <w:rsid w:val="00545DA8"/>
    <w:rPr>
      <w:sz w:val="20"/>
      <w:szCs w:val="20"/>
    </w:rPr>
  </w:style>
  <w:style w:type="character" w:customStyle="1" w:styleId="CommentTextChar">
    <w:name w:val="Comment Text Char"/>
    <w:basedOn w:val="DefaultParagraphFont"/>
    <w:link w:val="CommentText"/>
    <w:uiPriority w:val="99"/>
    <w:semiHidden/>
    <w:rsid w:val="00545DA8"/>
    <w:rPr>
      <w:sz w:val="20"/>
      <w:szCs w:val="20"/>
    </w:rPr>
  </w:style>
  <w:style w:type="paragraph" w:styleId="CommentSubject">
    <w:name w:val="annotation subject"/>
    <w:basedOn w:val="CommentText"/>
    <w:next w:val="CommentText"/>
    <w:link w:val="CommentSubjectChar"/>
    <w:uiPriority w:val="99"/>
    <w:semiHidden/>
    <w:unhideWhenUsed/>
    <w:rsid w:val="00545DA8"/>
    <w:rPr>
      <w:b/>
      <w:bCs/>
    </w:rPr>
  </w:style>
  <w:style w:type="character" w:customStyle="1" w:styleId="CommentSubjectChar">
    <w:name w:val="Comment Subject Char"/>
    <w:basedOn w:val="CommentTextChar"/>
    <w:link w:val="CommentSubject"/>
    <w:uiPriority w:val="99"/>
    <w:semiHidden/>
    <w:rsid w:val="00545D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3690</Words>
  <Characters>21039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Seraphine Maerz</dc:creator>
  <cp:keywords/>
  <dc:description/>
  <cp:lastModifiedBy>Seraphine Maerz</cp:lastModifiedBy>
  <cp:revision>2</cp:revision>
  <dcterms:created xsi:type="dcterms:W3CDTF">2026-10-19T22:02:00Z</dcterms:created>
  <dcterms:modified xsi:type="dcterms:W3CDTF">2026-10-19T23:36:00Z</dcterms:modified>
</cp:coreProperties>
</file>