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B0AA" w14:textId="77777777" w:rsidR="002E1C61" w:rsidRPr="003B4179" w:rsidRDefault="000271FE">
      <w:pPr>
        <w:rPr>
          <w:lang w:val="en-US"/>
        </w:rPr>
      </w:pPr>
      <w:r w:rsidRPr="003B4179">
        <w:rPr>
          <w:b/>
          <w:sz w:val="24"/>
          <w:lang w:val="en-US"/>
        </w:rPr>
        <w:t>Onderwijs voor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503BE181" w:rsidR="002E1C61" w:rsidRPr="003B4179" w:rsidRDefault="00821B6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Zaker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061CC723" w:rsidR="002E1C61" w:rsidRPr="003B4179" w:rsidRDefault="00404A1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Melvin</w:t>
            </w:r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42BC255E" w:rsidR="002E1C61" w:rsidRPr="003B4179" w:rsidRDefault="008D2C50" w:rsidP="0048015C">
      <w:pPr>
        <w:pStyle w:val="Lijstalinea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Redirects his personal </w:t>
      </w:r>
      <w:r w:rsidR="00D47002" w:rsidRPr="003B4179">
        <w:rPr>
          <w:sz w:val="16"/>
          <w:szCs w:val="16"/>
          <w:lang w:val="en-US"/>
        </w:rPr>
        <w:t>skills</w:t>
      </w:r>
      <w:r w:rsidR="00CE4530" w:rsidRPr="003B4179">
        <w:rPr>
          <w:sz w:val="16"/>
          <w:szCs w:val="16"/>
          <w:lang w:val="en-US"/>
        </w:rPr>
        <w:t xml:space="preserve">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E" w14:textId="01C07C20" w:rsidR="002E1C61" w:rsidRDefault="00821B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When using a new tool/framework/language he immediately searches for best practices and uses them</w:t>
      </w:r>
    </w:p>
    <w:p w14:paraId="24B98D8F" w14:textId="69706774" w:rsidR="00821B6B" w:rsidRPr="003B4179" w:rsidRDefault="00821B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Whatever task he picks up, he makes sure to deliver with good quality</w:t>
      </w:r>
      <w:bookmarkStart w:id="0" w:name="_GoBack"/>
      <w:bookmarkEnd w:id="0"/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2" w14:textId="0176F707" w:rsidR="002E1C61" w:rsidRPr="003B4179" w:rsidRDefault="00821B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Tends to over complicate things because he wants to follow the theory too fast and too much</w:t>
      </w: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jstalinea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64B7F04" w14:textId="7617B70B" w:rsidR="00821B6B" w:rsidRDefault="00821B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Knows how much time he needs for tasks that he picks up</w:t>
      </w:r>
    </w:p>
    <w:p w14:paraId="71B6B0CD" w14:textId="2646764F" w:rsidR="002E1C61" w:rsidRPr="003B4179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very clear is when he will do something</w:t>
      </w:r>
      <w:r w:rsidR="00821B6B">
        <w:rPr>
          <w:sz w:val="16"/>
          <w:szCs w:val="16"/>
          <w:lang w:val="en-US"/>
        </w:rPr>
        <w:t xml:space="preserve"> </w:t>
      </w: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0" w14:textId="1FAE92EB" w:rsidR="002E1C61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More consistent schedule</w:t>
      </w:r>
    </w:p>
    <w:p w14:paraId="07470449" w14:textId="5AA34B07" w:rsidR="00B9411C" w:rsidRPr="003B4179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More realistic overall scheduling</w:t>
      </w:r>
    </w:p>
    <w:p w14:paraId="71B6B0D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jstalinea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jstalinea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B" w14:textId="60B94A0E" w:rsidR="002E1C61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Professional and business like in serious discussions</w:t>
      </w:r>
    </w:p>
    <w:p w14:paraId="3F5AE03D" w14:textId="780AE4F1" w:rsidR="00B9411C" w:rsidRPr="003B4179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Enjoys (I think) going back on forth on all kinds of topics and is open to changing his mind</w:t>
      </w: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E" w14:textId="162241D1" w:rsidR="002E1C61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Sometimes uses </w:t>
      </w:r>
      <w:r>
        <w:rPr>
          <w:sz w:val="16"/>
          <w:szCs w:val="16"/>
          <w:lang w:val="en-US"/>
        </w:rPr>
        <w:t>unnecessary professional jargon</w:t>
      </w:r>
    </w:p>
    <w:p w14:paraId="3B43BBF4" w14:textId="11CC65F7" w:rsidR="00B9411C" w:rsidRPr="003B4179" w:rsidRDefault="00B9411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Sometimes quickly dismisses your thoughts if they are not immediately based on facts</w:t>
      </w:r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lastRenderedPageBreak/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120030"/>
    <w:rsid w:val="001604B3"/>
    <w:rsid w:val="0020595F"/>
    <w:rsid w:val="002D7A6A"/>
    <w:rsid w:val="002E1C61"/>
    <w:rsid w:val="00325CA9"/>
    <w:rsid w:val="003B4179"/>
    <w:rsid w:val="00400A74"/>
    <w:rsid w:val="00404A15"/>
    <w:rsid w:val="004234EF"/>
    <w:rsid w:val="00425115"/>
    <w:rsid w:val="0048015C"/>
    <w:rsid w:val="005E385E"/>
    <w:rsid w:val="0063694C"/>
    <w:rsid w:val="0064394A"/>
    <w:rsid w:val="0067481D"/>
    <w:rsid w:val="006A0D2C"/>
    <w:rsid w:val="006B3A83"/>
    <w:rsid w:val="006D66BE"/>
    <w:rsid w:val="00741356"/>
    <w:rsid w:val="00794D09"/>
    <w:rsid w:val="007E56FC"/>
    <w:rsid w:val="00802116"/>
    <w:rsid w:val="00821B6B"/>
    <w:rsid w:val="008778CC"/>
    <w:rsid w:val="008D2C50"/>
    <w:rsid w:val="009217DF"/>
    <w:rsid w:val="0095538A"/>
    <w:rsid w:val="00A5426E"/>
    <w:rsid w:val="00B55D84"/>
    <w:rsid w:val="00B9411C"/>
    <w:rsid w:val="00CE4530"/>
    <w:rsid w:val="00CF1782"/>
    <w:rsid w:val="00CF2512"/>
    <w:rsid w:val="00D111F2"/>
    <w:rsid w:val="00D47002"/>
    <w:rsid w:val="00D500D5"/>
    <w:rsid w:val="00DE3EF9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Zwaar">
    <w:name w:val="Strong"/>
    <w:basedOn w:val="Standaardalinea-lettertype"/>
    <w:uiPriority w:val="22"/>
    <w:qFormat/>
    <w:rsid w:val="00810A4B"/>
    <w:rPr>
      <w:b/>
      <w:bCs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Geenafstand">
    <w:name w:val="No Spacing"/>
    <w:link w:val="GeenafstandChar"/>
    <w:uiPriority w:val="1"/>
    <w:qFormat/>
    <w:rsid w:val="00810A4B"/>
    <w:rPr>
      <w:rFonts w:ascii="Arial" w:hAnsi="Arial" w:cs="Times New Roman"/>
    </w:rPr>
  </w:style>
  <w:style w:type="paragraph" w:styleId="Lijstalinea">
    <w:name w:val="List Paragraph"/>
    <w:basedOn w:val="Standaard"/>
    <w:uiPriority w:val="34"/>
    <w:qFormat/>
    <w:rsid w:val="00291C2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Zaker Farahi</cp:lastModifiedBy>
  <cp:revision>4</cp:revision>
  <dcterms:created xsi:type="dcterms:W3CDTF">2020-03-19T17:58:00Z</dcterms:created>
  <dcterms:modified xsi:type="dcterms:W3CDTF">2020-03-19T21:14:00Z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