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Nazlı Tokatlı</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Individual Responsibility &amp; Data Structure Declaration</w:t>
      </w:r>
    </w:p>
    <w:p>
      <w:pPr>
        <w:spacing w:before="0" w:after="240" w:line="276" w:lineRule="auto"/>
      </w:pPr>
      <w:r>
        <w:rPr>
          <w:rFonts w:ascii="Calibri" w:hAnsi="Calibri"/>
          <w:sz w:val="22"/>
        </w:rPr>
        <w:t>In accordance with the Compiler Design Final Project Video Demo Guidelines, the table below declares the individual responsibilities, component ownership, data structures utilized, and the video presentation timestamps for each group member: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left"/>
            </w:pPr>
            <w:r>
              <w:rPr>
                <w:b/>
                <w:color w:val="FFFFFF"/>
                <w:sz w:val="20"/>
              </w:rPr>
              <w:t>Student Name &amp; ID</w:t>
            </w:r>
          </w:p>
        </w:tc>
        <w:tc>
          <w:tcPr>
            <w:tcW w:type="dxa" w:w="2340"/>
            <w:shd w:fill="1F497D"/>
            <w:tcMar>
              <w:top w:w="120" w:type="dxa"/>
              <w:bottom w:w="120" w:type="dxa"/>
              <w:left w:w="150" w:type="dxa"/>
              <w:right w:w="150" w:type="dxa"/>
            </w:tcMar>
          </w:tcPr>
          <w:p>
            <w:pPr>
              <w:jc w:val="left"/>
            </w:pPr>
            <w:r>
              <w:rPr>
                <w:b/>
                <w:color w:val="FFFFFF"/>
                <w:sz w:val="20"/>
              </w:rPr>
              <w:t>Component(s) Coded</w:t>
            </w:r>
          </w:p>
        </w:tc>
        <w:tc>
          <w:tcPr>
            <w:tcW w:type="dxa" w:w="2340"/>
            <w:shd w:fill="1F497D"/>
            <w:tcMar>
              <w:top w:w="120" w:type="dxa"/>
              <w:bottom w:w="120" w:type="dxa"/>
              <w:left w:w="150" w:type="dxa"/>
              <w:right w:w="150" w:type="dxa"/>
            </w:tcMar>
          </w:tcPr>
          <w:p>
            <w:pPr>
              <w:jc w:val="left"/>
            </w:pPr>
            <w:r>
              <w:rPr>
                <w:b/>
                <w:color w:val="FFFFFF"/>
                <w:sz w:val="20"/>
              </w:rPr>
              <w:t>Data Structures Used</w:t>
            </w:r>
          </w:p>
        </w:tc>
        <w:tc>
          <w:tcPr>
            <w:tcW w:type="dxa" w:w="2340"/>
            <w:shd w:fill="1F497D"/>
            <w:tcMar>
              <w:top w:w="120" w:type="dxa"/>
              <w:bottom w:w="120" w:type="dxa"/>
              <w:left w:w="150" w:type="dxa"/>
              <w:right w:w="150" w:type="dxa"/>
            </w:tcMar>
          </w:tcPr>
          <w:p>
            <w:pPr>
              <w:jc w:val="left"/>
            </w:pPr>
            <w:r>
              <w:rPr>
                <w:b/>
                <w:color w:val="FFFFFF"/>
                <w:sz w:val="20"/>
              </w:rPr>
              <w:t>Video Timestamp</w:t>
            </w:r>
          </w:p>
        </w:tc>
      </w:tr>
      <w:tr>
        <w:tc>
          <w:tcPr>
            <w:tcW w:type="dxa" w:w="2340"/>
            <w:tcMar>
              <w:top w:w="100" w:type="dxa"/>
              <w:bottom w:w="100" w:type="dxa"/>
              <w:left w:w="150" w:type="dxa"/>
              <w:right w:w="150" w:type="dxa"/>
            </w:tcMar>
            <w:shd w:fill="F2F5F8"/>
          </w:tcPr>
          <w:p>
            <w:r>
              <w:rPr>
                <w:rFonts w:ascii="Calibri" w:hAnsi="Calibri"/>
                <w:sz w:val="19"/>
              </w:rPr>
              <w:t>Sercan Özkan</w:t>
              <w:br/>
              <w:t>(220611005)</w:t>
            </w:r>
          </w:p>
        </w:tc>
        <w:tc>
          <w:tcPr>
            <w:tcW w:type="dxa" w:w="2340"/>
            <w:tcMar>
              <w:top w:w="100" w:type="dxa"/>
              <w:bottom w:w="100" w:type="dxa"/>
              <w:left w:w="150" w:type="dxa"/>
              <w:right w:w="150" w:type="dxa"/>
            </w:tcMar>
            <w:shd w:fill="F2F5F8"/>
          </w:tcPr>
          <w:p>
            <w:r>
              <w:rPr>
                <w:rFonts w:ascii="Calibri" w:hAnsi="Calibri"/>
                <w:sz w:val="19"/>
              </w:rPr>
              <w:t>Lexer / Scanner,</w:t>
              <w:br/>
              <w:t>Parser / Syntax Analyzer,</w:t>
              <w:br/>
              <w:t>TAC Generator</w:t>
            </w:r>
          </w:p>
        </w:tc>
        <w:tc>
          <w:tcPr>
            <w:tcW w:type="dxa" w:w="2340"/>
            <w:tcMar>
              <w:top w:w="100" w:type="dxa"/>
              <w:bottom w:w="100" w:type="dxa"/>
              <w:left w:w="150" w:type="dxa"/>
              <w:right w:w="150" w:type="dxa"/>
            </w:tcMar>
            <w:shd w:fill="F2F5F8"/>
          </w:tcPr>
          <w:p>
            <w:r>
              <w:rPr>
                <w:rFonts w:ascii="Calibri" w:hAnsi="Calibri"/>
                <w:sz w:val="19"/>
              </w:rPr>
              <w:t>• List (Token Stream)</w:t>
              <w:br/>
              <w:t>• Stack (Parentheses parsing)</w:t>
              <w:br/>
              <w:t>• Tree Nodes (AST representation)</w:t>
              <w:br/>
              <w:t>• Map (DFA character transitions)</w:t>
            </w:r>
          </w:p>
        </w:tc>
        <w:tc>
          <w:tcPr>
            <w:tcW w:type="dxa" w:w="2340"/>
            <w:tcMar>
              <w:top w:w="100" w:type="dxa"/>
              <w:bottom w:w="100" w:type="dxa"/>
              <w:left w:w="150" w:type="dxa"/>
              <w:right w:w="150" w:type="dxa"/>
            </w:tcMar>
            <w:shd w:fill="F2F5F8"/>
          </w:tcPr>
          <w:p>
            <w:r>
              <w:rPr>
                <w:rFonts w:ascii="Calibri" w:hAnsi="Calibri"/>
                <w:sz w:val="19"/>
              </w:rPr>
              <w:t>00:00 - 06:30</w:t>
            </w:r>
          </w:p>
        </w:tc>
      </w:tr>
      <w:tr>
        <w:tc>
          <w:tcPr>
            <w:tcW w:type="dxa" w:w="2340"/>
            <w:tcMar>
              <w:top w:w="100" w:type="dxa"/>
              <w:bottom w:w="100" w:type="dxa"/>
              <w:left w:w="150" w:type="dxa"/>
              <w:right w:w="150" w:type="dxa"/>
            </w:tcMar>
            <w:shd w:fill="FFFFFF"/>
          </w:tcPr>
          <w:p>
            <w:r>
              <w:rPr>
                <w:rFonts w:ascii="Calibri" w:hAnsi="Calibri"/>
                <w:sz w:val="19"/>
              </w:rPr>
              <w:t>Berat Kahraman</w:t>
              <w:br/>
              <w:t>(220610038)</w:t>
            </w:r>
          </w:p>
        </w:tc>
        <w:tc>
          <w:tcPr>
            <w:tcW w:type="dxa" w:w="2340"/>
            <w:tcMar>
              <w:top w:w="100" w:type="dxa"/>
              <w:bottom w:w="100" w:type="dxa"/>
              <w:left w:w="150" w:type="dxa"/>
              <w:right w:w="150" w:type="dxa"/>
            </w:tcMar>
            <w:shd w:fill="FFFFFF"/>
          </w:tcPr>
          <w:p>
            <w:r>
              <w:rPr>
                <w:rFonts w:ascii="Calibri" w:hAnsi="Calibri"/>
                <w:sz w:val="19"/>
              </w:rPr>
              <w:t>Static Semantic Analyzer,</w:t>
              <w:br/>
              <w:t>Memory Simulator,</w:t>
              <w:br/>
              <w:t>Visual UI / OS Dashboard,</w:t>
              <w:br/>
              <w:t>Documentation</w:t>
            </w:r>
          </w:p>
        </w:tc>
        <w:tc>
          <w:tcPr>
            <w:tcW w:type="dxa" w:w="2340"/>
            <w:tcMar>
              <w:top w:w="100" w:type="dxa"/>
              <w:bottom w:w="100" w:type="dxa"/>
              <w:left w:w="150" w:type="dxa"/>
              <w:right w:w="150" w:type="dxa"/>
            </w:tcMar>
            <w:shd w:fill="FFFFFF"/>
          </w:tcPr>
          <w:p>
            <w:r>
              <w:rPr>
                <w:rFonts w:ascii="Calibri" w:hAnsi="Calibri"/>
                <w:sz w:val="19"/>
              </w:rPr>
              <w:t>• Stack of Maps (Symbol Table scope stack)</w:t>
              <w:br/>
              <w:t>• Map (Simulated memory offsets)</w:t>
              <w:br/>
              <w:t>• List (Compilation errors list)</w:t>
            </w:r>
          </w:p>
        </w:tc>
        <w:tc>
          <w:tcPr>
            <w:tcW w:type="dxa" w:w="2340"/>
            <w:tcMar>
              <w:top w:w="100" w:type="dxa"/>
              <w:bottom w:w="100" w:type="dxa"/>
              <w:left w:w="150" w:type="dxa"/>
              <w:right w:w="150" w:type="dxa"/>
            </w:tcMar>
            <w:shd w:fill="FFFFFF"/>
          </w:tcPr>
          <w:p>
            <w:r>
              <w:rPr>
                <w:rFonts w:ascii="Calibri" w:hAnsi="Calibri"/>
                <w:sz w:val="19"/>
              </w:rPr>
              <w:t>06:30 - 13:00</w:t>
            </w:r>
          </w:p>
        </w:tc>
      </w:tr>
    </w:tbl>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keepNext/>
        <w:spacing w:before="240" w:after="120"/>
      </w:pPr>
      <w:r>
        <w:rPr>
          <w:b/>
          <w:color w:val="222222"/>
          <w:sz w:val="23"/>
        </w:rPr>
        <w:t>11.1 Compiler Application Dashboard Screenshots</w:t>
      </w:r>
    </w:p>
    <w:p>
      <w:pPr>
        <w:spacing w:before="0" w:after="80"/>
      </w:pPr>
    </w:p>
    <w:p>
      <w:pPr>
        <w:spacing w:before="60" w:after="120" w:line="276" w:lineRule="auto"/>
      </w:pPr>
      <w:r>
        <w:t>The following screenshots demonstrate the integrated compiler app (`COMPILER.EXE`) running within the Holo-Cyber OS desktop:</w:t>
      </w:r>
    </w:p>
    <w:p>
      <w:pPr>
        <w:spacing w:before="0" w:after="80"/>
      </w:pPr>
    </w:p>
    <w:p>
      <w:pPr>
        <w:keepNext/>
        <w:spacing w:before="240" w:after="120"/>
      </w:pPr>
      <w:r>
        <w:rPr>
          <w:i/>
          <w:sz w:val="22"/>
        </w:rPr>
        <w:t>11.1.1 Lexical Analyzer (Lexer) Token Stream Visualizations</w:t>
      </w:r>
    </w:p>
    <w:p>
      <w:pPr>
        <w:spacing w:before="240" w:after="80"/>
        <w:jc w:val="center"/>
      </w:pPr>
      <w:r>
        <w:drawing>
          <wp:inline xmlns:a="http://schemas.openxmlformats.org/drawingml/2006/main" xmlns:pic="http://schemas.openxmlformats.org/drawingml/2006/picture">
            <wp:extent cx="5029200" cy="2670565"/>
            <wp:docPr id="1" name="Picture 1"/>
            <wp:cNvGraphicFramePr>
              <a:graphicFrameLocks noChangeAspect="1"/>
            </wp:cNvGraphicFramePr>
            <a:graphic>
              <a:graphicData uri="http://schemas.openxmlformats.org/drawingml/2006/picture">
                <pic:pic>
                  <pic:nvPicPr>
                    <pic:cNvPr id="0" name="lexer1.png"/>
                    <pic:cNvPicPr/>
                  </pic:nvPicPr>
                  <pic:blipFill>
                    <a:blip r:embed="rId11"/>
                    <a:stretch>
                      <a:fillRect/>
                    </a:stretch>
                  </pic:blipFill>
                  <pic:spPr>
                    <a:xfrm>
                      <a:off x="0" y="0"/>
                      <a:ext cx="5029200" cy="2670565"/>
                    </a:xfrm>
                    <a:prstGeom prst="rect"/>
                  </pic:spPr>
                </pic:pic>
              </a:graphicData>
            </a:graphic>
          </wp:inline>
        </w:drawing>
      </w:r>
    </w:p>
    <w:p>
      <w:pPr>
        <w:spacing w:before="40" w:after="240"/>
        <w:jc w:val="center"/>
      </w:pPr>
      <w:r>
        <w:rPr>
          <w:rFonts w:ascii="Calibri" w:hAnsi="Calibri"/>
          <w:i/>
          <w:color w:val="595959"/>
          <w:sz w:val="19"/>
        </w:rPr>
        <w:t>Figure: Lexer Stream Sample 1</w:t>
      </w:r>
    </w:p>
    <w:p>
      <w:pPr>
        <w:spacing w:before="240" w:after="80"/>
        <w:jc w:val="center"/>
      </w:pPr>
      <w:r>
        <w:drawing>
          <wp:inline xmlns:a="http://schemas.openxmlformats.org/drawingml/2006/main" xmlns:pic="http://schemas.openxmlformats.org/drawingml/2006/picture">
            <wp:extent cx="5029200" cy="2651561"/>
            <wp:docPr id="2" name="Picture 2"/>
            <wp:cNvGraphicFramePr>
              <a:graphicFrameLocks noChangeAspect="1"/>
            </wp:cNvGraphicFramePr>
            <a:graphic>
              <a:graphicData uri="http://schemas.openxmlformats.org/drawingml/2006/picture">
                <pic:pic>
                  <pic:nvPicPr>
                    <pic:cNvPr id="0" name="lexer2.png"/>
                    <pic:cNvPicPr/>
                  </pic:nvPicPr>
                  <pic:blipFill>
                    <a:blip r:embed="rId12"/>
                    <a:stretch>
                      <a:fillRect/>
                    </a:stretch>
                  </pic:blipFill>
                  <pic:spPr>
                    <a:xfrm>
                      <a:off x="0" y="0"/>
                      <a:ext cx="5029200" cy="2651561"/>
                    </a:xfrm>
                    <a:prstGeom prst="rect"/>
                  </pic:spPr>
                </pic:pic>
              </a:graphicData>
            </a:graphic>
          </wp:inline>
        </w:drawing>
      </w:r>
    </w:p>
    <w:p>
      <w:pPr>
        <w:spacing w:before="40" w:after="240"/>
        <w:jc w:val="center"/>
      </w:pPr>
      <w:r>
        <w:rPr>
          <w:rFonts w:ascii="Calibri" w:hAnsi="Calibri"/>
          <w:i/>
          <w:color w:val="595959"/>
          <w:sz w:val="19"/>
        </w:rPr>
        <w:t>Figure: Lexer Stream Sample 2</w:t>
      </w:r>
    </w:p>
    <w:p>
      <w:pPr>
        <w:spacing w:before="240" w:after="80"/>
        <w:jc w:val="center"/>
      </w:pPr>
      <w:r>
        <w:drawing>
          <wp:inline xmlns:a="http://schemas.openxmlformats.org/drawingml/2006/main" xmlns:pic="http://schemas.openxmlformats.org/drawingml/2006/picture">
            <wp:extent cx="5029200" cy="2668331"/>
            <wp:docPr id="3" name="Picture 3"/>
            <wp:cNvGraphicFramePr>
              <a:graphicFrameLocks noChangeAspect="1"/>
            </wp:cNvGraphicFramePr>
            <a:graphic>
              <a:graphicData uri="http://schemas.openxmlformats.org/drawingml/2006/picture">
                <pic:pic>
                  <pic:nvPicPr>
                    <pic:cNvPr id="0" name="lexer3.png"/>
                    <pic:cNvPicPr/>
                  </pic:nvPicPr>
                  <pic:blipFill>
                    <a:blip r:embed="rId13"/>
                    <a:stretch>
                      <a:fillRect/>
                    </a:stretch>
                  </pic:blipFill>
                  <pic:spPr>
                    <a:xfrm>
                      <a:off x="0" y="0"/>
                      <a:ext cx="5029200" cy="2668331"/>
                    </a:xfrm>
                    <a:prstGeom prst="rect"/>
                  </pic:spPr>
                </pic:pic>
              </a:graphicData>
            </a:graphic>
          </wp:inline>
        </w:drawing>
      </w:r>
    </w:p>
    <w:p>
      <w:pPr>
        <w:spacing w:before="40" w:after="240"/>
        <w:jc w:val="center"/>
      </w:pPr>
      <w:r>
        <w:rPr>
          <w:rFonts w:ascii="Calibri" w:hAnsi="Calibri"/>
          <w:i/>
          <w:color w:val="595959"/>
          <w:sz w:val="19"/>
        </w:rPr>
        <w:t>Figure: Lexer Stream Sample 3</w:t>
      </w:r>
    </w:p>
    <w:p>
      <w:pPr>
        <w:spacing w:before="240" w:after="80"/>
        <w:jc w:val="center"/>
      </w:pPr>
      <w:r>
        <w:drawing>
          <wp:inline xmlns:a="http://schemas.openxmlformats.org/drawingml/2006/main" xmlns:pic="http://schemas.openxmlformats.org/drawingml/2006/picture">
            <wp:extent cx="5029200" cy="2772648"/>
            <wp:docPr id="4" name="Picture 4"/>
            <wp:cNvGraphicFramePr>
              <a:graphicFrameLocks noChangeAspect="1"/>
            </wp:cNvGraphicFramePr>
            <a:graphic>
              <a:graphicData uri="http://schemas.openxmlformats.org/drawingml/2006/picture">
                <pic:pic>
                  <pic:nvPicPr>
                    <pic:cNvPr id="0" name="lexer4.png"/>
                    <pic:cNvPicPr/>
                  </pic:nvPicPr>
                  <pic:blipFill>
                    <a:blip r:embed="rId14"/>
                    <a:stretch>
                      <a:fillRect/>
                    </a:stretch>
                  </pic:blipFill>
                  <pic:spPr>
                    <a:xfrm>
                      <a:off x="0" y="0"/>
                      <a:ext cx="5029200" cy="2772648"/>
                    </a:xfrm>
                    <a:prstGeom prst="rect"/>
                  </pic:spPr>
                </pic:pic>
              </a:graphicData>
            </a:graphic>
          </wp:inline>
        </w:drawing>
      </w:r>
    </w:p>
    <w:p>
      <w:pPr>
        <w:spacing w:before="40" w:after="240"/>
        <w:jc w:val="center"/>
      </w:pPr>
      <w:r>
        <w:rPr>
          <w:rFonts w:ascii="Calibri" w:hAnsi="Calibri"/>
          <w:i/>
          <w:color w:val="595959"/>
          <w:sz w:val="19"/>
        </w:rPr>
        <w:t>Figure: Lexer Stream Sample 4</w:t>
      </w:r>
    </w:p>
    <w:p>
      <w:pPr>
        <w:spacing w:before="0" w:after="80"/>
      </w:pPr>
    </w:p>
    <w:p>
      <w:pPr>
        <w:keepNext/>
        <w:spacing w:before="240" w:after="120"/>
      </w:pPr>
      <w:r>
        <w:rPr>
          <w:i/>
          <w:sz w:val="22"/>
        </w:rPr>
        <w:t>11.1.2 Abstract Syntax Tree (AST) Tab Visualizations</w:t>
      </w:r>
    </w:p>
    <w:p>
      <w:pPr>
        <w:spacing w:before="240" w:after="80"/>
        <w:jc w:val="center"/>
      </w:pPr>
      <w:r>
        <w:drawing>
          <wp:inline xmlns:a="http://schemas.openxmlformats.org/drawingml/2006/main" xmlns:pic="http://schemas.openxmlformats.org/drawingml/2006/picture">
            <wp:extent cx="5029200" cy="2547399"/>
            <wp:docPr id="5" name="Picture 5"/>
            <wp:cNvGraphicFramePr>
              <a:graphicFrameLocks noChangeAspect="1"/>
            </wp:cNvGraphicFramePr>
            <a:graphic>
              <a:graphicData uri="http://schemas.openxmlformats.org/drawingml/2006/picture">
                <pic:pic>
                  <pic:nvPicPr>
                    <pic:cNvPr id="0" name="ast1.png"/>
                    <pic:cNvPicPr/>
                  </pic:nvPicPr>
                  <pic:blipFill>
                    <a:blip r:embed="rId15"/>
                    <a:stretch>
                      <a:fillRect/>
                    </a:stretch>
                  </pic:blipFill>
                  <pic:spPr>
                    <a:xfrm>
                      <a:off x="0" y="0"/>
                      <a:ext cx="5029200" cy="2547399"/>
                    </a:xfrm>
                    <a:prstGeom prst="rect"/>
                  </pic:spPr>
                </pic:pic>
              </a:graphicData>
            </a:graphic>
          </wp:inline>
        </w:drawing>
      </w:r>
    </w:p>
    <w:p>
      <w:pPr>
        <w:spacing w:before="40" w:after="240"/>
        <w:jc w:val="center"/>
      </w:pPr>
      <w:r>
        <w:rPr>
          <w:rFonts w:ascii="Calibri" w:hAnsi="Calibri"/>
          <w:i/>
          <w:color w:val="595959"/>
          <w:sz w:val="19"/>
        </w:rPr>
        <w:t>Figure: AST Hierarchy Visual 1</w:t>
      </w:r>
    </w:p>
    <w:p>
      <w:pPr>
        <w:spacing w:before="240" w:after="80"/>
        <w:jc w:val="center"/>
      </w:pPr>
      <w:r>
        <w:drawing>
          <wp:inline xmlns:a="http://schemas.openxmlformats.org/drawingml/2006/main" xmlns:pic="http://schemas.openxmlformats.org/drawingml/2006/picture">
            <wp:extent cx="5029200" cy="2249185"/>
            <wp:docPr id="6" name="Picture 6"/>
            <wp:cNvGraphicFramePr>
              <a:graphicFrameLocks noChangeAspect="1"/>
            </wp:cNvGraphicFramePr>
            <a:graphic>
              <a:graphicData uri="http://schemas.openxmlformats.org/drawingml/2006/picture">
                <pic:pic>
                  <pic:nvPicPr>
                    <pic:cNvPr id="0" name="ast2.png"/>
                    <pic:cNvPicPr/>
                  </pic:nvPicPr>
                  <pic:blipFill>
                    <a:blip r:embed="rId16"/>
                    <a:stretch>
                      <a:fillRect/>
                    </a:stretch>
                  </pic:blipFill>
                  <pic:spPr>
                    <a:xfrm>
                      <a:off x="0" y="0"/>
                      <a:ext cx="5029200" cy="2249185"/>
                    </a:xfrm>
                    <a:prstGeom prst="rect"/>
                  </pic:spPr>
                </pic:pic>
              </a:graphicData>
            </a:graphic>
          </wp:inline>
        </w:drawing>
      </w:r>
    </w:p>
    <w:p>
      <w:pPr>
        <w:spacing w:before="40" w:after="240"/>
        <w:jc w:val="center"/>
      </w:pPr>
      <w:r>
        <w:rPr>
          <w:rFonts w:ascii="Calibri" w:hAnsi="Calibri"/>
          <w:i/>
          <w:color w:val="595959"/>
          <w:sz w:val="19"/>
        </w:rPr>
        <w:t>Figure: AST Hierarchy Visual 2</w:t>
      </w:r>
    </w:p>
    <w:p>
      <w:pPr>
        <w:spacing w:before="240" w:after="80"/>
        <w:jc w:val="center"/>
      </w:pPr>
      <w:r>
        <w:drawing>
          <wp:inline xmlns:a="http://schemas.openxmlformats.org/drawingml/2006/main" xmlns:pic="http://schemas.openxmlformats.org/drawingml/2006/picture">
            <wp:extent cx="5029200" cy="2806228"/>
            <wp:docPr id="7" name="Picture 7"/>
            <wp:cNvGraphicFramePr>
              <a:graphicFrameLocks noChangeAspect="1"/>
            </wp:cNvGraphicFramePr>
            <a:graphic>
              <a:graphicData uri="http://schemas.openxmlformats.org/drawingml/2006/picture">
                <pic:pic>
                  <pic:nvPicPr>
                    <pic:cNvPr id="0" name="ast3.png"/>
                    <pic:cNvPicPr/>
                  </pic:nvPicPr>
                  <pic:blipFill>
                    <a:blip r:embed="rId17"/>
                    <a:stretch>
                      <a:fillRect/>
                    </a:stretch>
                  </pic:blipFill>
                  <pic:spPr>
                    <a:xfrm>
                      <a:off x="0" y="0"/>
                      <a:ext cx="5029200" cy="2806228"/>
                    </a:xfrm>
                    <a:prstGeom prst="rect"/>
                  </pic:spPr>
                </pic:pic>
              </a:graphicData>
            </a:graphic>
          </wp:inline>
        </w:drawing>
      </w:r>
    </w:p>
    <w:p>
      <w:pPr>
        <w:spacing w:before="40" w:after="240"/>
        <w:jc w:val="center"/>
      </w:pPr>
      <w:r>
        <w:rPr>
          <w:rFonts w:ascii="Calibri" w:hAnsi="Calibri"/>
          <w:i/>
          <w:color w:val="595959"/>
          <w:sz w:val="19"/>
        </w:rPr>
        <w:t>Figure: AST Hierarchy Visual 3</w:t>
      </w:r>
    </w:p>
    <w:p>
      <w:pPr>
        <w:spacing w:before="0" w:after="80"/>
      </w:pPr>
    </w:p>
    <w:p>
      <w:pPr>
        <w:keepNext/>
        <w:spacing w:before="240" w:after="120"/>
      </w:pPr>
      <w:r>
        <w:rPr>
          <w:i/>
          <w:sz w:val="22"/>
        </w:rPr>
        <w:t>11.1.3 Diagnostics Panel (Syntax &amp; Semantic Error Warnings)</w:t>
      </w:r>
    </w:p>
    <w:p>
      <w:pPr>
        <w:spacing w:before="240" w:after="80"/>
        <w:jc w:val="center"/>
      </w:pPr>
      <w:r>
        <w:drawing>
          <wp:inline xmlns:a="http://schemas.openxmlformats.org/drawingml/2006/main" xmlns:pic="http://schemas.openxmlformats.org/drawingml/2006/picture">
            <wp:extent cx="5029200" cy="2763057"/>
            <wp:docPr id="8" name="Picture 8"/>
            <wp:cNvGraphicFramePr>
              <a:graphicFrameLocks noChangeAspect="1"/>
            </wp:cNvGraphicFramePr>
            <a:graphic>
              <a:graphicData uri="http://schemas.openxmlformats.org/drawingml/2006/picture">
                <pic:pic>
                  <pic:nvPicPr>
                    <pic:cNvPr id="0" name="diag1.png"/>
                    <pic:cNvPicPr/>
                  </pic:nvPicPr>
                  <pic:blipFill>
                    <a:blip r:embed="rId18"/>
                    <a:stretch>
                      <a:fillRect/>
                    </a:stretch>
                  </pic:blipFill>
                  <pic:spPr>
                    <a:xfrm>
                      <a:off x="0" y="0"/>
                      <a:ext cx="5029200" cy="2763057"/>
                    </a:xfrm>
                    <a:prstGeom prst="rect"/>
                  </pic:spPr>
                </pic:pic>
              </a:graphicData>
            </a:graphic>
          </wp:inline>
        </w:drawing>
      </w:r>
    </w:p>
    <w:p>
      <w:pPr>
        <w:spacing w:before="40" w:after="240"/>
        <w:jc w:val="center"/>
      </w:pPr>
      <w:r>
        <w:rPr>
          <w:rFonts w:ascii="Calibri" w:hAnsi="Calibri"/>
          <w:i/>
          <w:color w:val="595959"/>
          <w:sz w:val="19"/>
        </w:rPr>
        <w:t>Figure: Compiler Error Warnings Sample 1</w:t>
      </w:r>
    </w:p>
    <w:p>
      <w:pPr>
        <w:spacing w:before="240" w:after="80"/>
        <w:jc w:val="center"/>
      </w:pPr>
      <w:r>
        <w:drawing>
          <wp:inline xmlns:a="http://schemas.openxmlformats.org/drawingml/2006/main" xmlns:pic="http://schemas.openxmlformats.org/drawingml/2006/picture">
            <wp:extent cx="5029200" cy="2263140"/>
            <wp:docPr id="9" name="Picture 9"/>
            <wp:cNvGraphicFramePr>
              <a:graphicFrameLocks noChangeAspect="1"/>
            </wp:cNvGraphicFramePr>
            <a:graphic>
              <a:graphicData uri="http://schemas.openxmlformats.org/drawingml/2006/picture">
                <pic:pic>
                  <pic:nvPicPr>
                    <pic:cNvPr id="0" name="diag2.png"/>
                    <pic:cNvPicPr/>
                  </pic:nvPicPr>
                  <pic:blipFill>
                    <a:blip r:embed="rId19"/>
                    <a:stretch>
                      <a:fillRect/>
                    </a:stretch>
                  </pic:blipFill>
                  <pic:spPr>
                    <a:xfrm>
                      <a:off x="0" y="0"/>
                      <a:ext cx="5029200" cy="2263140"/>
                    </a:xfrm>
                    <a:prstGeom prst="rect"/>
                  </pic:spPr>
                </pic:pic>
              </a:graphicData>
            </a:graphic>
          </wp:inline>
        </w:drawing>
      </w:r>
    </w:p>
    <w:p>
      <w:pPr>
        <w:spacing w:before="40" w:after="240"/>
        <w:jc w:val="center"/>
      </w:pPr>
      <w:r>
        <w:rPr>
          <w:rFonts w:ascii="Calibri" w:hAnsi="Calibri"/>
          <w:i/>
          <w:color w:val="595959"/>
          <w:sz w:val="19"/>
        </w:rPr>
        <w:t>Figure: Compiler Error Warnings Sample 2</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To guarantee a balanced workload and ensure maximum cohesion between the core compiler engine and the front-end dashboard, the division of labor was structured strictly. The group members collaborated on the overall system architecture, while dividing implementation tasks into specialized areas:</w:t>
      </w:r>
    </w:p>
    <w:p>
      <w:pPr>
        <w:spacing w:before="0" w:after="80"/>
      </w:pPr>
    </w:p>
    <w:p>
      <w:pPr>
        <w:keepNext/>
        <w:spacing w:before="240" w:after="120"/>
      </w:pPr>
      <w:r>
        <w:rPr>
          <w:b/>
          <w:color w:val="222222"/>
          <w:sz w:val="23"/>
        </w:rPr>
        <w:t>15.1 Detailed Work Breakdown and Core Duties</w:t>
      </w:r>
    </w:p>
    <w:p>
      <w:pPr>
        <w:spacing w:before="0" w:after="80"/>
      </w:pPr>
    </w:p>
    <w:p>
      <w:pPr>
        <w:spacing w:before="60" w:after="60" w:line="276" w:lineRule="auto"/>
      </w:pPr>
      <w:r>
        <w:rPr>
          <w:rFonts w:ascii="Calibri" w:hAnsi="Calibri"/>
          <w:b/>
          <w:sz w:val="22"/>
        </w:rPr>
        <w:t>•  Sercan Özkan:</w:t>
      </w:r>
      <w:r>
        <w:rPr>
          <w:rFonts w:ascii="Calibri" w:hAnsi="Calibri"/>
          <w:sz w:val="22"/>
        </w:rPr>
      </w:r>
    </w:p>
    <w:p>
      <w:pPr>
        <w:spacing w:before="60" w:after="120" w:line="276" w:lineRule="auto"/>
      </w:pPr>
      <w:r>
        <w:t xml:space="preserve">  - </w:t>
      </w:r>
      <w:r>
        <w:rPr>
          <w:b/>
        </w:rPr>
        <w:t>DFA Lexical Analysis &amp; Scanner</w:t>
      </w:r>
      <w:r>
        <w:t>: Programmed the scanner loop in `tokenize()`, implemented string/float literal state machines, lookahead resolution for double-character operators, and line/column metrics tracking.</w:t>
      </w:r>
    </w:p>
    <w:p>
      <w:pPr>
        <w:spacing w:before="60" w:after="120" w:line="276" w:lineRule="auto"/>
      </w:pPr>
      <w:r>
        <w:t xml:space="preserve">  - </w:t>
      </w:r>
      <w:r>
        <w:rPr>
          <w:b/>
        </w:rPr>
        <w:t>Syntax Parsing (Recursive Descent)</w:t>
      </w:r>
      <w:r>
        <w:t>: Coded the LL(1) grammar parser rules (statements, selections, iterations, expressions, primary nodes) and established operator precedence hierarchy.</w:t>
      </w:r>
    </w:p>
    <w:p>
      <w:pPr>
        <w:spacing w:before="60" w:after="120" w:line="276" w:lineRule="auto"/>
      </w:pPr>
      <w:r>
        <w:t xml:space="preserve">  - </w:t>
      </w:r>
      <w:r>
        <w:rPr>
          <w:b/>
        </w:rPr>
        <w:t>Symbol Table Stack</w:t>
      </w:r>
      <w:r>
        <w:t>: Engineered the stack of Maps representing local block scopes.</w:t>
      </w:r>
    </w:p>
    <w:p>
      <w:pPr>
        <w:spacing w:before="60" w:after="120" w:line="276" w:lineRule="auto"/>
      </w:pPr>
      <w:r>
        <w:t xml:space="preserve">  - </w:t>
      </w:r>
      <w:r>
        <w:rPr>
          <w:b/>
        </w:rPr>
        <w:t>Intermediate Code (TAC) Generation</w:t>
      </w:r>
      <w:r>
        <w:t>: Programmed the linearized TAC translation walk including register (`t0`, `t1`...) and branching label (`L0`, `L1`...) generation, and implemented the variable scope suffixing (`x_0`, `x_1`) shadowing resolution.</w:t>
      </w:r>
    </w:p>
    <w:p>
      <w:pPr>
        <w:spacing w:before="0" w:after="80"/>
      </w:pPr>
    </w:p>
    <w:p>
      <w:pPr>
        <w:spacing w:before="60" w:after="60" w:line="276" w:lineRule="auto"/>
      </w:pPr>
      <w:r>
        <w:rPr>
          <w:rFonts w:ascii="Calibri" w:hAnsi="Calibri"/>
          <w:b/>
          <w:sz w:val="22"/>
        </w:rPr>
        <w:t>•  Berat Kahraman:</w:t>
      </w:r>
      <w:r>
        <w:rPr>
          <w:rFonts w:ascii="Calibri" w:hAnsi="Calibri"/>
          <w:sz w:val="22"/>
        </w:rPr>
      </w:r>
    </w:p>
    <w:p>
      <w:pPr>
        <w:spacing w:before="60" w:after="120" w:line="276" w:lineRule="auto"/>
      </w:pPr>
      <w:r>
        <w:t xml:space="preserve">  - </w:t>
      </w:r>
      <w:r>
        <w:rPr>
          <w:b/>
        </w:rPr>
        <w:t>Static Semantics &amp; Type Safety Checking</w:t>
      </w:r>
      <w:r>
        <w:t>: Implemented scoping verification (undeclared and redeclared checks) and type compatibility checks for assignments, arithmetic, and logical operations, including compile-time division by zero checks.</w:t>
      </w:r>
    </w:p>
    <w:p>
      <w:pPr>
        <w:spacing w:before="60" w:after="120" w:line="276" w:lineRule="auto"/>
      </w:pPr>
      <w:r>
        <w:t xml:space="preserve">  - </w:t>
      </w:r>
      <w:r>
        <w:rPr>
          <w:b/>
        </w:rPr>
        <w:t>Memory Layout Simulator</w:t>
      </w:r>
      <w:r>
        <w:t>: Configured global offset counters allocating 4 bytes for `int` and 8 bytes for `float` variables.</w:t>
      </w:r>
    </w:p>
    <w:p>
      <w:pPr>
        <w:spacing w:before="60" w:after="120" w:line="276" w:lineRule="auto"/>
      </w:pPr>
      <w:r>
        <w:t xml:space="preserve">  - </w:t>
      </w:r>
      <w:r>
        <w:rPr>
          <w:b/>
        </w:rPr>
        <w:t>Visual GUI &amp; Gutter Line Sync</w:t>
      </w:r>
      <w:r>
        <w:t>: Designed the cyberpunk OS dashboard interface, editor gutters, draggable window wrappers, diagnostic error cards, and implemented HTML5 `FileReader` file uploads.</w:t>
      </w:r>
    </w:p>
    <w:p>
      <w:pPr>
        <w:spacing w:before="60" w:after="120" w:line="276" w:lineRule="auto"/>
      </w:pPr>
      <w:r>
        <w:t xml:space="preserve">  - </w:t>
      </w:r>
      <w:r>
        <w:rPr>
          <w:b/>
        </w:rPr>
        <w:t>Academic Documentation</w:t>
      </w:r>
      <w:r>
        <w:t>: Structured the BNF grammar representation, compiler methodology flowchart, memory offset charts, challenges walkthroughs, and configured automated word report compilation scripts.</w:t>
      </w:r>
    </w:p>
    <w:p>
      <w:pPr>
        <w:spacing w:before="0" w:after="80"/>
      </w:pPr>
    </w:p>
    <w:p>
      <w:pPr>
        <w:keepNext/>
        <w:spacing w:before="240" w:after="120"/>
      </w:pPr>
      <w:r>
        <w:rPr>
          <w:b/>
          <w:color w:val="222222"/>
          <w:sz w:val="23"/>
        </w:rPr>
        <w:t>15.2 Distribution of Project Contributions</w:t>
      </w:r>
    </w:p>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240" w:after="0"/>
    </w:pPr>
    <w:r>
      <w:rPr>
        <w:rFonts w:ascii="Calibri" w:hAnsi="Calibri"/>
        <w:color w:val="8A8A8A"/>
        <w:sz w:val="17"/>
      </w:rPr>
      <w:t>System Programming - Two-Pass Compiler Project</w:t>
    </w:r>
    <w:r>
      <w:tab/>
    </w:r>
    <w:r>
      <w:rPr>
        <w:rFonts w:ascii="Calibri" w:hAnsi="Calibri"/>
        <w:color w:val="8A8A8A"/>
        <w:sz w:val="17"/>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40"/>
      <w:jc w:val="right"/>
    </w:pPr>
    <w:r>
      <w:rPr>
        <w:rFonts w:ascii="Calibri" w:hAnsi="Calibri"/>
        <w:i/>
        <w:color w:val="8A8A8A"/>
        <w:sz w:val="17"/>
      </w:rPr>
      <w:t>İSTÜN | DEPARTMENT OF COMPUTER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