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Ewreka Nota Deneme Belgesi</w:t>
      </w:r>
    </w:p>
    <w:p>
      <w:pPr>
        <w:pStyle w:val="Heading1"/>
      </w:pPr>
      <w:r>
        <w:t>1. Giriş Bölümü</w:t>
      </w:r>
    </w:p>
    <w:p>
      <w:r>
        <w:t xml:space="preserve">Bu paragraf </w:t>
      </w:r>
      <w:r>
        <w:rPr>
          <w:b/>
        </w:rPr>
        <w:t>kalın</w:t>
      </w:r>
      <w:r>
        <w:t xml:space="preserve">, </w:t>
      </w:r>
      <w:r>
        <w:rPr>
          <w:i/>
        </w:rPr>
        <w:t>italik</w:t>
      </w:r>
      <w:r>
        <w:t xml:space="preserve"> ve </w:t>
      </w:r>
      <w:r>
        <w:rPr>
          <w:u w:val="single"/>
        </w:rPr>
        <w:t>altı çizili</w:t>
      </w:r>
      <w:r>
        <w:t xml:space="preserve"> metin içerir. Türkçe karakterler: ğüşıöç İĞÜŞÖÇ — "Işık ılık süt içti, çiğ börek yedi."</w:t>
      </w:r>
    </w:p>
    <w:p>
      <w:r>
        <w:rPr>
          <w:rFonts w:ascii="Georgia" w:hAnsi="Georgia"/>
          <w:color w:val="C02020"/>
          <w:sz w:val="28"/>
        </w:rPr>
        <w:t>Kırmızı Georgia 14 pt</w:t>
      </w:r>
    </w:p>
    <w:p>
      <w:pPr>
        <w:pStyle w:val="Heading2"/>
      </w:pPr>
      <w:r>
        <w:t>1.1 Listeler</w:t>
      </w:r>
    </w:p>
    <w:p>
      <w:pPr>
        <w:pStyle w:val="ListBullet"/>
      </w:pPr>
      <w:r>
        <w:t>Birinci madde</w:t>
      </w:r>
    </w:p>
    <w:p>
      <w:pPr>
        <w:pStyle w:val="ListBullet"/>
      </w:pPr>
      <w:r>
        <w:t>İkinci madde</w:t>
      </w:r>
    </w:p>
    <w:p>
      <w:pPr>
        <w:pStyle w:val="ListBullet"/>
      </w:pPr>
      <w:r>
        <w:t>Üçüncü madde</w:t>
      </w:r>
    </w:p>
    <w:p>
      <w:pPr>
        <w:pStyle w:val="ListNumber"/>
      </w:pPr>
      <w:r>
        <w:t>Adım bir</w:t>
      </w:r>
    </w:p>
    <w:p>
      <w:pPr>
        <w:pStyle w:val="ListNumber"/>
      </w:pPr>
      <w:r>
        <w:t>Adım iki</w:t>
      </w:r>
    </w:p>
    <w:p>
      <w:pPr>
        <w:pStyle w:val="Heading2"/>
      </w:pPr>
      <w:r>
        <w:t>1.2 Tablo</w:t>
      </w:r>
    </w:p>
    <w:tbl>
      <w:tblPr>
        <w:tblStyle w:val="TableGrid"/>
        <w:tblW w:type="auto" w:w="0"/>
        <w:tblLook w:firstColumn="1" w:firstRow="1" w:lastColumn="0" w:lastRow="0" w:noHBand="0" w:noVBand="1" w:val="04A0"/>
      </w:tblPr>
      <w:tblGrid>
        <w:gridCol w:w="3024"/>
        <w:gridCol w:w="3024"/>
        <w:gridCol w:w="3024"/>
      </w:tblGrid>
      <w:tr>
        <w:tc>
          <w:tcPr>
            <w:tcW w:type="dxa" w:w="3024"/>
          </w:tcPr>
          <w:p>
            <w:r>
              <w:t>Ürün</w:t>
            </w:r>
          </w:p>
        </w:tc>
        <w:tc>
          <w:tcPr>
            <w:tcW w:type="dxa" w:w="3024"/>
          </w:tcPr>
          <w:p>
            <w:r>
              <w:t>Adet</w:t>
            </w:r>
          </w:p>
        </w:tc>
        <w:tc>
          <w:tcPr>
            <w:tcW w:type="dxa" w:w="3024"/>
          </w:tcPr>
          <w:p>
            <w:r>
              <w:t>Fiyat</w:t>
            </w:r>
          </w:p>
        </w:tc>
      </w:tr>
      <w:tr>
        <w:tc>
          <w:tcPr>
            <w:tcW w:type="dxa" w:w="3024"/>
          </w:tcPr>
          <w:p>
            <w:r>
              <w:t>Çay</w:t>
            </w:r>
          </w:p>
        </w:tc>
        <w:tc>
          <w:tcPr>
            <w:tcW w:type="dxa" w:w="3024"/>
          </w:tcPr>
          <w:p>
            <w:r>
              <w:t>2</w:t>
            </w:r>
          </w:p>
        </w:tc>
        <w:tc>
          <w:tcPr>
            <w:tcW w:type="dxa" w:w="3024"/>
          </w:tcPr>
          <w:p>
            <w:r>
              <w:t>₺40,00</w:t>
            </w:r>
          </w:p>
        </w:tc>
      </w:tr>
      <w:tr>
        <w:tc>
          <w:tcPr>
            <w:tcW w:type="dxa" w:w="3024"/>
          </w:tcPr>
          <w:p>
            <w:r>
              <w:t>Şeker</w:t>
            </w:r>
          </w:p>
        </w:tc>
        <w:tc>
          <w:tcPr>
            <w:tcW w:type="dxa" w:w="3024"/>
          </w:tcPr>
          <w:p>
            <w:r>
              <w:t>1</w:t>
            </w:r>
          </w:p>
        </w:tc>
        <w:tc>
          <w:tcPr>
            <w:tcW w:type="dxa" w:w="3024"/>
          </w:tcPr>
          <w:p>
            <w:r>
              <w:t>₺25,50</w:t>
            </w:r>
          </w:p>
        </w:tc>
      </w:tr>
    </w:tbl>
    <w:p>
      <w:r>
        <w:t>Aşağıda bir görsel var:</w:t>
      </w:r>
    </w:p>
    <w:p>
      <w:r>
        <w:drawing>
          <wp:inline xmlns:a="http://schemas.openxmlformats.org/drawingml/2006/main" xmlns:pic="http://schemas.openxmlformats.org/drawingml/2006/picture">
            <wp:extent cx="2880000" cy="144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80000" cy="1440000"/>
                    </a:xfrm>
                    <a:prstGeom prst="rect"/>
                  </pic:spPr>
                </pic:pic>
              </a:graphicData>
            </a:graphic>
          </wp:inline>
        </w:drawing>
      </w:r>
    </w:p>
    <w:p>
      <w:pPr>
        <w:jc w:val="center"/>
      </w:pPr>
      <w:r>
        <w:t>Ortalanmış paragraf.</w:t>
      </w:r>
    </w:p>
    <w:p>
      <w:r>
        <w:br w:type="page"/>
      </w:r>
    </w:p>
    <w:p>
      <w:pPr>
        <w:pStyle w:val="Heading1"/>
      </w:pPr>
      <w:r>
        <w:t>2. İkinci Sayfa</w:t>
      </w:r>
    </w:p>
    <w:p>
      <w:r>
        <w:t xml:space="preserve">Lorem ipsum dolor sit amet, consectetur adipiscing elit. Şimdi ğüşıöç harfleriyle uzun bir paragraf yazıyoruz ki satırlar kaysın ve sayfa düzeni sınansın. Lorem ipsum dolor sit amet, consectetur adipiscing elit. Şimdi ğüşıöç harfleriyle uzun bir paragraf yazıyoruz ki satırlar kaysın ve sayfa düzeni sınansın. </w:t>
      </w:r>
    </w:p>
    <w:p>
      <w:r>
        <w:t xml:space="preserve">Lorem ipsum dolor sit amet, consectetur adipiscing elit. Şimdi ğüşıöç harfleriyle uzun bir paragraf yazıyoruz ki satırlar kaysın ve sayfa düzeni sınansın. Lorem ipsum dolor sit amet, consectetur adipiscing elit. Şimdi ğüşıöç harfleriyle uzun bir paragraf yazıyoruz ki satırlar kaysın ve sayfa düzeni sınansın. </w:t>
      </w:r>
    </w:p>
    <w:p>
      <w:r>
        <w:t xml:space="preserve">Lorem ipsum dolor sit amet, consectetur adipiscing elit. Şimdi ğüşıöç harfleriyle uzun bir paragraf yazıyoruz ki satırlar kaysın ve sayfa düzeni sınansın. Lorem ipsum dolor sit amet, consectetur adipiscing elit. Şimdi ğüşıöç harfleriyle uzun bir paragraf yazıyoruz ki satırlar kaysın ve sayfa düzeni sınansın. </w:t>
      </w:r>
    </w:p>
    <w:p>
      <w:r>
        <w:t xml:space="preserve">Lorem ipsum dolor sit amet, consectetur adipiscing elit. Şimdi ğüşıöç harfleriyle uzun bir paragraf yazıyoruz ki satırlar kaysın ve sayfa düzeni sınansın. Lorem ipsum dolor sit amet, consectetur adipiscing elit. Şimdi ğüşıöç harfleriyle uzun bir paragraf yazıyoruz ki satırlar kaysın ve sayfa düzeni sınansın. </w:t>
      </w:r>
    </w:p>
    <w:p>
      <w:r>
        <w:t xml:space="preserve">Lorem ipsum dolor sit amet, consectetur adipiscing elit. Şimdi ğüşıöç harfleriyle uzun bir paragraf yazıyoruz ki satırlar kaysın ve sayfa düzeni sınansın. Lorem ipsum dolor sit amet, consectetur adipiscing elit. Şimdi ğüşıöç harfleriyle uzun bir paragraf yazıyoruz ki satırlar kaysın ve sayfa düzeni sınansın. </w:t>
      </w:r>
    </w:p>
    <w:p>
      <w:r>
        <w:t xml:space="preserve">Lorem ipsum dolor sit amet, consectetur adipiscing elit. Şimdi ğüşıöç harfleriyle uzun bir paragraf yazıyoruz ki satırlar kaysın ve sayfa düzeni sınansın. Lorem ipsum dolor sit amet, consectetur adipiscing elit. Şimdi ğüşıöç harfleriyle uzun bir paragraf yazıyoruz ki satırlar kaysın ve sayfa düzeni sınansın. </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Gizli · Altbilgi metni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Ewreka Digital — Üst Bilgi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