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</w:t>
      </w:r>
      <w:r>
        <w:t xml:space="preserve"> </w:t>
      </w:r>
      <w:r>
        <w:t xml:space="preserve">the</w:t>
      </w:r>
      <w:r>
        <w:t xml:space="preserve"> </w:t>
      </w:r>
      <w:r>
        <w:t xml:space="preserve">skin</w:t>
      </w:r>
    </w:p>
    <w:p>
      <w:pPr>
        <w:pStyle w:val="Subtitle"/>
      </w:pPr>
      <w:r>
        <w:t xml:space="preserve">Early-life</w:t>
      </w:r>
      <w:r>
        <w:t xml:space="preserve"> </w:t>
      </w:r>
      <w:r>
        <w:t xml:space="preserve">stress</w:t>
      </w:r>
      <w:r>
        <w:t xml:space="preserve"> </w:t>
      </w:r>
      <w:r>
        <w:t xml:space="preserve">exposure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co-occurrence</w:t>
      </w:r>
      <w:r>
        <w:t xml:space="preserve"> </w:t>
      </w:r>
      <w:r>
        <w:t xml:space="preserve">of</w:t>
      </w:r>
      <w:r>
        <w:t xml:space="preserve"> </w:t>
      </w:r>
      <w:r>
        <w:t xml:space="preserve">mental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health</w:t>
      </w:r>
      <w:r>
        <w:t xml:space="preserve"> </w:t>
      </w:r>
      <w:r>
        <w:t xml:space="preserve">problems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rPr>
          <w:iCs/>
          <w:i/>
        </w:rPr>
        <w:t xml:space="preserve">“</w:t>
      </w:r>
      <w:r>
        <w:rPr>
          <w:iCs/>
          <w:i/>
        </w:rPr>
        <w:t xml:space="preserve">In the depth of winter, I found there was, within me, an invincible summer.</w:t>
      </w:r>
      <w:r>
        <w:rPr>
          <w:iCs/>
          <w:i/>
        </w:rPr>
        <w:t xml:space="preserve">”</w:t>
      </w:r>
      <w:r>
        <w:t xml:space="preserve"> </w:t>
      </w:r>
      <w:r>
        <w:t xml:space="preserve">Albert Camus – Summer (1954)</w:t>
      </w:r>
    </w:p>
    <w:bookmarkStart w:id="20" w:name="author"/>
    <w:p>
      <w:pPr>
        <w:pStyle w:val="Heading4"/>
      </w:pPr>
      <w:r>
        <w:t xml:space="preserve">AUTHOR</w:t>
      </w:r>
    </w:p>
    <w:p>
      <w:pPr>
        <w:pStyle w:val="FirstParagraph"/>
      </w:pPr>
      <w:r>
        <w:t xml:space="preserve">      Serena Defina</w:t>
      </w:r>
    </w:p>
    <w:bookmarkEnd w:id="20"/>
    <w:bookmarkStart w:id="21" w:name="promotor"/>
    <w:p>
      <w:pPr>
        <w:pStyle w:val="Heading4"/>
      </w:pPr>
      <w:r>
        <w:t xml:space="preserve">PROMOTOR</w:t>
      </w:r>
    </w:p>
    <w:p>
      <w:pPr>
        <w:pStyle w:val="FirstParagraph"/>
      </w:pPr>
      <w:r>
        <w:t xml:space="preserve">      Henning Tiemier</w:t>
      </w:r>
    </w:p>
    <w:bookmarkEnd w:id="21"/>
    <w:bookmarkStart w:id="25" w:name="co-promotors"/>
    <w:p>
      <w:pPr>
        <w:pStyle w:val="Heading4"/>
      </w:pPr>
      <w:r>
        <w:t xml:space="preserve">CO-PROMOTORS</w:t>
      </w:r>
    </w:p>
    <w:p>
      <w:pPr>
        <w:pStyle w:val="FirstParagraph"/>
      </w:pPr>
      <w:r>
        <w:t xml:space="preserve">      Charlotte A.M. Cecil</w:t>
      </w:r>
      <w:r>
        <w:br/>
      </w:r>
      <w:r>
        <w:t xml:space="preserve">      Janine F. Felix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This is a work in progress. Stay tuned :)</w:t>
            </w:r>
          </w:p>
        </w:tc>
      </w:tr>
    </w:tbl>
    <w:p>
      <w:r>
        <w:br w:type="page"/>
      </w:r>
    </w:p>
    <w:bookmarkEnd w:id="25"/>
    <w:bookmarkStart w:id="26" w:name="aknowledgements"/>
    <w:p>
      <w:pPr>
        <w:pStyle w:val="Heading2"/>
      </w:pPr>
      <w:r>
        <w:t xml:space="preserve">Aknowledgements</w:t>
      </w:r>
    </w:p>
    <w:p>
      <w:pPr>
        <w:pStyle w:val="FirstParagraph"/>
      </w:pPr>
      <w:r>
        <w:t xml:space="preserve">TODO</w:t>
      </w:r>
    </w:p>
    <w:bookmarkEnd w:id="26"/>
    <w:bookmarkEnd w:id="27"/>
    <w:bookmarkStart w:id="3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Dear reader,</w:t>
      </w:r>
    </w:p>
    <w:p>
      <w:pPr>
        <w:pStyle w:val="BodyText"/>
      </w:pPr>
      <w:r>
        <w:t xml:space="preserve">oh my good why does this not update</w:t>
      </w:r>
    </w:p>
    <w:p>
      <w:pPr>
        <w:pStyle w:val="BodyText"/>
      </w:pPr>
      <w:r>
        <w:t xml:space="preserve">This an that</w:t>
      </w:r>
      <w:r>
        <w:t xml:space="preserve"> </w:t>
      </w:r>
      <w:r>
        <w:t xml:space="preserve">(Fraser et al., 2013; R Core Team, 2021)</w:t>
      </w:r>
    </w:p>
    <w:p>
      <w:pPr>
        <w:pStyle w:val="BodyText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additional discussion.</w:t>
      </w:r>
    </w:p>
    <w:bookmarkStart w:id="33" w:name="references"/>
    <w:p>
      <w:pPr>
        <w:pStyle w:val="Heading2"/>
      </w:pPr>
      <w:r>
        <w:t xml:space="preserve">References</w:t>
      </w:r>
    </w:p>
    <w:bookmarkStart w:id="32" w:name="Xa7a4974e9966830d7b5795e07f2c2a561a29171"/>
    <w:bookmarkStart w:id="29" w:name="ref-Fraser2013"/>
    <w:p>
      <w:pPr>
        <w:pStyle w:val="FirstParagraph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29"/>
    <w:bookmarkStart w:id="31" w:name="ref-Rcore2021"/>
    <w:p>
      <w:pPr>
        <w:pStyle w:val="BodyText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[Journal Article].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</w:p>
    <w:bookmarkEnd w:id="31"/>
    <w:bookmarkEnd w:id="32"/>
    <w:bookmarkEnd w:id="33"/>
    <w:bookmarkEnd w:id="34"/>
    <w:bookmarkStart w:id="46" w:name="sec-chapter1"/>
    <w:p>
      <w:pPr>
        <w:pStyle w:val="Heading1"/>
      </w:pPr>
      <w:r>
        <w:t xml:space="preserve">1.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rPr>
          <w:bCs/>
          <w:b/>
        </w:rPr>
        <w:t xml:space="preserve">Differential effects of pre- and postnatal early-life stress on internalizing, adiposity and their comorbidity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Pariante, C. M., Lekadir, K., Jaddoe, V. W., Serdarevic, F., Tiemeier, H., Walton, E., Felix, J. F., &amp; Cecil, C. A. M.,</w:t>
      </w:r>
      <w:r>
        <w:t xml:space="preserve"> </w:t>
      </w:r>
      <w:r>
        <w:rPr>
          <w:iCs/>
          <w:i/>
        </w:rPr>
        <w:t xml:space="preserve">on behalf of the EarlyCause Consortium. (2023).</w:t>
      </w:r>
      <w:r>
        <w:rPr>
          <w:iCs/>
          <w:i/>
        </w:rPr>
        <w:t xml:space="preserve"> </w:t>
      </w:r>
      <w:r>
        <w:t xml:space="preserve">JAACAP*.</w:t>
      </w:r>
      <w:r>
        <w:t xml:space="preserve"> </w:t>
      </w:r>
      <w:hyperlink r:id="rId35">
        <w:r>
          <w:rPr>
            <w:rStyle w:val="Hyperlink"/>
          </w:rPr>
          <w:t xml:space="preserve">DOI</w:t>
        </w:r>
      </w:hyperlink>
    </w:p>
    <w:bookmarkStart w:id="36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rPr>
          <w:u w:val="single"/>
        </w:rPr>
        <w:t xml:space="preserve">Objective</w:t>
      </w:r>
      <w:r>
        <w:t xml:space="preserve">: Depression and obesity are two highly prevalent and often comorbid conditions. Exposure to early-life stress (ELS) has been associated with both depression and obesity in adulthood, as well as their preclinical manifestations during development. However, it remains unclear whether: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associations differ depending on the timing of stress exposure (prenatal vs postnatal) and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ELS is a shared risk factor underlying the comorbidity between the two conditions.</w:t>
      </w:r>
    </w:p>
    <w:p>
      <w:pPr>
        <w:pStyle w:val="BodyText"/>
      </w:pPr>
      <w:r>
        <w:rPr>
          <w:u w:val="single"/>
        </w:rPr>
        <w:t xml:space="preserve">Method</w:t>
      </w:r>
      <w:r>
        <w:t xml:space="preserve">: Leveraging data from two large population-based birth cohorts (ALSPAC: n=8428 (52% male participants); Generation R: n=4268 (48% male participants)), we constructed comprehensive cumulative measures of prenatal (in utero) and postnatal (from birth to 10 years) ELS. At age 13.5 years we assessed: a) internalizing symptoms (using maternal reports); b) fat mass percentage (using dual-energy X-ray absorptiometry); c) their comorbidity, defined as the co-occurrence of high internalizing and high adiposity.</w:t>
      </w:r>
    </w:p>
    <w:p>
      <w:pPr>
        <w:pStyle w:val="BodyText"/>
      </w:pPr>
      <w:r>
        <w:rPr>
          <w:u w:val="single"/>
        </w:rPr>
        <w:t xml:space="preserve">Results</w:t>
      </w:r>
      <w:r>
        <w:t xml:space="preserve">: Both prenatal (</w:t>
      </w:r>
      <w:r>
        <w:rPr>
          <w:iCs/>
          <w:i/>
        </w:rPr>
        <w:t xml:space="preserve">total effect</w:t>
      </w:r>
      <w:r>
        <w:t xml:space="preserve"> </w:t>
      </w:r>
      <w:r>
        <w:t xml:space="preserve">[95%CI] = 0.20 [0.16; 0.22]) and postnatal stress (</w:t>
      </w:r>
      <m:oMath>
        <m:r>
          <m:t>β</m:t>
        </m:r>
      </m:oMath>
      <w:r>
        <w:t xml:space="preserve"> </w:t>
      </w:r>
      <w:r>
        <w:t xml:space="preserve">[95%CI] = 0.22 [0.17; 0.25]) were associated with higher internalizing symptoms, with evidence of a more prominent role of postnatal stress. A weaker association (primarily driven by prenatal stress) was observed between stress and adiposity (prenatal: 0.07 [0.05; 0.09]; postnatal: 0.04 [0.01; 0.07]). Both pre- (OR [95%CI] = 1.70 [1.47; 1.97]) and postnatal stress (1.87 [1.61; 2.17]) were associated with an increased risk of developing comorbidity.</w:t>
      </w:r>
    </w:p>
    <w:p>
      <w:pPr>
        <w:pStyle w:val="BodyText"/>
      </w:pPr>
      <w:r>
        <w:rPr>
          <w:u w:val="single"/>
        </w:rPr>
        <w:t xml:space="preserve">Conclusion</w:t>
      </w:r>
      <w:r>
        <w:t xml:space="preserve">: We found evidence of</w:t>
      </w:r>
      <w:r>
        <w:t xml:space="preserve"> </w:t>
      </w:r>
      <w:r>
        <w:rPr>
          <w:iCs/>
          <w:i/>
        </w:rPr>
        <w:t xml:space="preserve">(i)</w:t>
      </w:r>
      <w:r>
        <w:t xml:space="preserve"> </w:t>
      </w:r>
      <w:r>
        <w:t xml:space="preserve">timing and</w:t>
      </w:r>
      <w:r>
        <w:t xml:space="preserve"> </w:t>
      </w:r>
      <w:r>
        <w:rPr>
          <w:iCs/>
          <w:i/>
        </w:rPr>
        <w:t xml:space="preserve">(ii)</w:t>
      </w:r>
      <w:r>
        <w:t xml:space="preserve"> </w:t>
      </w:r>
      <w:r>
        <w:t xml:space="preserve">shared causal effects of ELS on psycho-cardiometabolic health in adolescence, but future research is warranted to clarify how these associations may unfold over time.</w:t>
      </w:r>
    </w:p>
    <w:bookmarkEnd w:id="36"/>
    <w:bookmarkStart w:id="37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(Elsenburg et al., 2017; Wiklund et al., 2008)</w:t>
      </w:r>
      <w:r>
        <w:t xml:space="preserve">. But I shall write it anyway cause. Cause I kind of do have no choice so, checking justification works</w:t>
      </w:r>
    </w:p>
    <w:bookmarkEnd w:id="37"/>
    <w:bookmarkStart w:id="38" w:name="methods"/>
    <w:p>
      <w:pPr>
        <w:pStyle w:val="Heading2"/>
      </w:pPr>
      <w:r>
        <w:t xml:space="preserve">1.2 Methods</w:t>
      </w:r>
    </w:p>
    <w:bookmarkEnd w:id="38"/>
    <w:bookmarkStart w:id="39" w:name="results"/>
    <w:p>
      <w:pPr>
        <w:pStyle w:val="Heading2"/>
      </w:pPr>
      <w:r>
        <w:t xml:space="preserve">1.3 Results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Sample descriptives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Generation R (GenR) and ALSPAC cohorts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GenR (n = 4268)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ALSPAC (n = 8428)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Prenatal stress, median (range)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0.42 (0–2.60)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0.48 (0–2.34)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 events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 (0–0.67)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0.07 (0–0.57)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Contextual 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 (0–1.00)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0.25 (0–0.88)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 (0–0.71)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0.10 (0–0.83)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Interpersonal 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 (0–0.95)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 (0–0.84)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Postnatal stress, median (range)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 (0–3.59)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 (0.17–16.43)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Life events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0.23 (0–0.82)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1.07 (0–3.50)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Contextual 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0.20 (0–1.00)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 (0–2.90)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Parental 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 (0–0.79)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0.57 (0–3.62)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Interpersonal risk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 (0–0.79)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0.29 (0–5.49)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Direct victimization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0.13 (0–0.86)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0.00 (0–3.10)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Internalizing score, median (range)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4.00 (0–41)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1.00 (0–10)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Fat mass percentage, median (range)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24.7 (8.5–54.6)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23.9 (4.9–56.3)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Outcome groups,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2791 (65)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5916 (70)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internalizing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623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795 (9)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 adiposity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631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1476 (18)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Comorbid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241 (3)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Sex,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Male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2087 (48)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4370 (52)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 participants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2181 (52)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4058 (48)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Ethnic background,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Africa and Middle East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115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Asia and Oceania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Cape Verdean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Dutch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2673 (62.6)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Dutch Antillean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 (2.8)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Europe 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334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Latin America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72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Moroccan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North America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 (0.6)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Surinamese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Turkish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247 (5.8)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Age of the child, median (range), years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 (12.6–16.6)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13.5 (12.8–15.0)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Pre-pregnancy BMI, median (range), kg/m2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22.6 (14.4–50.2)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22.1 (12.5–48.6)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smoking, n (%)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3228 (76)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4412 (52)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Until (early)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390 (9)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2524 (30)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During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650 (15)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1492 (18)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alcohol consumption, GenR: n (%); ALSPAC: median (range)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1694 (40)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0.50 (0 – 3.5)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Until early pregnancy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596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Continued occasionally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1570 (37)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Continued frequently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407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Maternal education, n (%)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1716 (40.2)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4216 (50.0)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1278 (29.9)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3001 (35.6)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1274 (29.9)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1212 (14.4)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Household income, n (%)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c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702 (16.4)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1318 (15.6)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2070 (48.5)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4324 (51.3)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1497 (35.1)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2786 (33.1)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a</w:t>
            </w:r>
            <w:r>
              <w:rPr>
                <w:rFonts w:ascii="Calibri" w:hAnsi="Calibri"/>
                <w:sz w:val="20"/>
              </w:rPr>
              <w:t xml:space="default">**Ethnic backgroung grouping**:&lt;br&gt;&lt;ins&gt;Africa and Middle East&lt;/ins&gt; = Iran (n=11); Iraq (10); South Africa (8); Angola (7); Eritrea (7); Israel (6); Cameroon (5); Egypt (5); Nigeria (5); Ethiopia (4); Algeria (3); Ghana (3); Lebanon (3); Liberia (3); Syria (3); Tanzania (3); Côte d'Ivoire (2); Guinea (2); Mozambique (2); Saudi Arabia (2); Senegal (2); Zimbabwe (2); Africa (1); Armenia (1); Burundi (1); Congo (1); French Congo (1); Gambia (1); Kenya (1); Mali (1); Mauritania (1); Palestine (1); Sierra Leone (1); Somalia (1); Sudan (1); Togo (1); Tunisia (1); Uganda (1); Yemen (1).&lt;br&gt;&lt;ins&gt;Asia and Oceania&lt;/ins&gt; = Indonesia (n=23); Pakistan (9); Australia (6); China (6); Japan (6); Philippines (6); Thailand (6); India (5); Afghanistan (4); Hongkong (4); South Korea (4); Vietnam (4); Bangladesh (3); Korea (3); Taiwan (3); Kazakhstan (2); New Zealand (2); Dutch New Guinea (1); East Timor (1); Singapore (1); Sri Lanka (1).&lt;br&gt;&lt;ins&gt;Europe&lt;/ins&gt; = Germany (n=55); Belgium (35); United Kingdom (30); France (29); Portugal (22); Spain (18); Yugoslavia (18); Poland (16); Italy (12); Bosnia-Herzegovina (11); Russia (10); Croatia (7); Czech Republic (7); Switzerland (7); Hungary (6); North Macedonia (6); Serbia-Montenegro (5); Denmark (4); Ireland (4); Norway (4); Sweden (4); Greece (3); Lithuania (3); Romania (3); Austria (2); Kosovo (2); Ukraine (2); Canary Islands (1); Estonia (1); Finland (1); Luxembourg (1); Madeira Islands (1); Moldova (1); Monaco (1); Slovakia (1); Slovenia (1).&lt;br&gt;&lt;ins&gt;Latin America&lt;/ins&gt; = Colombia (n=18); Brazil (11); Dominican Republic (8); Chile (6); Venezuela (6); Cuba (4); Mexico (4); Argentina (3); Peru (3); Ecuador (2); Guyana (2); Belize (1); Bolivia (1); Haiti (1); Paraguay (1); Trinidad and Tobago (1).&lt;br&gt;&lt;ins&gt;North America&lt;/ins&gt; = United States of America (n=16); Canada (9).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b</w:t>
            </w:r>
            <w:r>
              <w:rPr>
                <w:rFonts w:ascii="Calibri" w:hAnsi="Calibri"/>
                <w:sz w:val="20"/>
              </w:rPr>
              <w:t xml:space="default">**Maternal education**: low = “secondary, phase 2” or lower in GenR, “None”, “CSE”, “Vocational” or “O level” in ALSPAC; medium = “higher, phase 1” in GenR, “A level” in ALSPAC; high = “higher, phase 2” in GenR, “(College or university) degree” in ALSPAC. Categorization based on ISCED 2011.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c</w:t>
            </w:r>
            <w:r>
              <w:rPr>
                <w:rFonts w:ascii="Calibri" w:hAnsi="Calibri"/>
                <w:sz w:val="20"/>
              </w:rPr>
              <w:t xml:space="default">**Household income**: low = &lt; €1600 /month in GenR, &lt; £200 /week in ALSPAC; medium = between €1600 and € 4000 /month in GenR, between £200 and £400 /week in ALSPAC; high = &gt; € 4000 /month in GenR, &gt; £400 /week in ALSPAC.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Note</w:t>
            </w:r>
            <w:r>
              <w:rPr>
                <w:rFonts w:ascii="Calibri" w:hAnsi="Calibri"/>
                <w:sz w:val="20"/>
              </w:rPr>
              <w:t xml:space="preserve">: Sample descriptives pooled across 30 imputed datasets. BMI = Body-mass index.</w:t>
            </w:r>
          </w:p>
        </w:tc>
      </w:tr>
    </w:tbl>
    <w:bookmarkEnd w:id="39"/>
    <w:bookmarkStart w:id="40" w:name="discussion"/>
    <w:p>
      <w:pPr>
        <w:pStyle w:val="Heading2"/>
      </w:pPr>
      <w:r>
        <w:t xml:space="preserve">1.4 Discussion</w:t>
      </w:r>
    </w:p>
    <w:bookmarkEnd w:id="40"/>
    <w:bookmarkStart w:id="45" w:name="references-1"/>
    <w:p>
      <w:pPr>
        <w:pStyle w:val="Heading2"/>
      </w:pPr>
      <w:r>
        <w:t xml:space="preserve">References</w:t>
      </w:r>
    </w:p>
    <w:bookmarkStart w:id="44" w:name="refs--1"/>
    <w:bookmarkStart w:id="42" w:name="ref-RN225"/>
    <w:p>
      <w:pPr>
        <w:pStyle w:val="FirstParagraph"/>
      </w:pPr>
      <w:r>
        <w:t xml:space="preserve">Elsenburg, L. K., Wijk, K. J. E. van, Liefbroer, A. C., &amp; Smidt, N. (2017). Accumulation of adverse childhood events and overweight in children: A systematic review and meta-analysis [Journal Article].</w:t>
      </w:r>
      <w:r>
        <w:t xml:space="preserve"> </w:t>
      </w:r>
      <w:r>
        <w:rPr>
          <w:iCs/>
          <w:i/>
        </w:rPr>
        <w:t xml:space="preserve">Obesity (Silver Spring)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(5), 820–832.</w:t>
      </w:r>
      <w:r>
        <w:t xml:space="preserve"> </w:t>
      </w:r>
      <w:hyperlink r:id="rId41">
        <w:r>
          <w:rPr>
            <w:rStyle w:val="Hyperlink"/>
          </w:rPr>
          <w:t xml:space="preserve">https://doi.org/10.1002/oby.21797</w:t>
        </w:r>
      </w:hyperlink>
    </w:p>
    <w:bookmarkEnd w:id="42"/>
    <w:bookmarkStart w:id="43" w:name="ref-RN243"/>
    <w:p>
      <w:pPr>
        <w:pStyle w:val="BodyText"/>
      </w:pPr>
      <w:r>
        <w:t xml:space="preserve">Wiklund, P., Toss, F., Weinehall, L., Hallmans, G., Franks, P. W., Nordstrom, A., &amp; Nordstrom, P. (2008). Abdominal and gynoid fat mass are associated with cardiovascular risk factors in men and women [Journal Article].</w:t>
      </w:r>
      <w:r>
        <w:t xml:space="preserve"> </w:t>
      </w:r>
      <w:r>
        <w:rPr>
          <w:iCs/>
          <w:i/>
        </w:rPr>
        <w:t xml:space="preserve">The Journal of Clinical Endocrinology &amp; Metabolism</w:t>
      </w:r>
      <w:r>
        <w:t xml:space="preserve">,</w:t>
      </w:r>
      <w:r>
        <w:t xml:space="preserve"> </w:t>
      </w:r>
      <w:r>
        <w:rPr>
          <w:iCs/>
          <w:i/>
        </w:rPr>
        <w:t xml:space="preserve">93</w:t>
      </w:r>
      <w:r>
        <w:t xml:space="preserve">(11), 4360–4366.</w:t>
      </w:r>
    </w:p>
    <w:bookmarkEnd w:id="43"/>
    <w:bookmarkEnd w:id="44"/>
    <w:bookmarkEnd w:id="45"/>
    <w:bookmarkEnd w:id="46"/>
    <w:bookmarkStart w:id="58" w:name="sec-chapter2"/>
    <w:p>
      <w:pPr>
        <w:pStyle w:val="Heading1"/>
      </w:pPr>
      <w:r>
        <w:t xml:space="preserve">2. Lifestyle factors, ELS and adolescent psycho-physical health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The role of lifestyle factors in the association between early-life stress and adolescent psycho-physical health: Moderation analysis in two European birth cohorts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Woofenden, T., Baltramonaityte, V., Tiemeier, H., Fairchild, G., Felix, J. F., Cecil, C.A.M., &amp; Walton, E. (2024).</w:t>
      </w:r>
      <w:r>
        <w:t xml:space="preserve"> </w:t>
      </w:r>
      <w:r>
        <w:rPr>
          <w:iCs/>
          <w:i/>
        </w:rPr>
        <w:t xml:space="preserve">Preventive Medicine</w:t>
      </w:r>
      <w:r>
        <w:t xml:space="preserve">.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</w:p>
    <w:bookmarkStart w:id="48" w:name="abstact"/>
    <w:p>
      <w:pPr>
        <w:pStyle w:val="Heading2"/>
      </w:pPr>
      <w:r>
        <w:t xml:space="preserve">Abstact</w:t>
      </w:r>
    </w:p>
    <w:bookmarkEnd w:id="48"/>
    <w:bookmarkStart w:id="49" w:name="introduction-2"/>
    <w:p>
      <w:pPr>
        <w:pStyle w:val="Heading2"/>
      </w:pPr>
      <w:r>
        <w:t xml:space="preserve">2.1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49"/>
    <w:bookmarkStart w:id="50" w:name="methods-1"/>
    <w:p>
      <w:pPr>
        <w:pStyle w:val="Heading2"/>
      </w:pPr>
      <w:r>
        <w:t xml:space="preserve">2.2 Methods</w:t>
      </w:r>
    </w:p>
    <w:bookmarkEnd w:id="50"/>
    <w:bookmarkStart w:id="51" w:name="discussion-1"/>
    <w:p>
      <w:pPr>
        <w:pStyle w:val="Heading2"/>
      </w:pPr>
      <w:r>
        <w:t xml:space="preserve">2.3 Discussion</w:t>
      </w:r>
    </w:p>
    <w:bookmarkEnd w:id="51"/>
    <w:bookmarkStart w:id="52" w:name="references-2"/>
    <w:p>
      <w:pPr>
        <w:pStyle w:val="Heading2"/>
      </w:pPr>
      <w:r>
        <w:t xml:space="preserve">References</w:t>
      </w:r>
    </w:p>
    <w:bookmarkEnd w:id="52"/>
    <w:bookmarkStart w:id="57" w:name="bibliography--2"/>
    <w:p>
      <w:pPr>
        <w:pStyle w:val="Heading2"/>
      </w:pPr>
      <w:r>
        <w:t xml:space="preserve">References</w:t>
      </w:r>
    </w:p>
    <w:bookmarkStart w:id="56" w:name="refs--2"/>
    <w:bookmarkStart w:id="54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54"/>
    <w:bookmarkStart w:id="55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55"/>
    <w:bookmarkEnd w:id="56"/>
    <w:bookmarkEnd w:id="57"/>
    <w:bookmarkEnd w:id="58"/>
    <w:bookmarkStart w:id="68" w:name="sec-chapter3"/>
    <w:p>
      <w:pPr>
        <w:pStyle w:val="Heading1"/>
      </w:pPr>
      <w:r>
        <w:t xml:space="preserve">3. ELS and intracortical myelination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intracortical myelination in childhood: a population-based neuroimaging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Manzoni, D., Tiemeier, H., Brouwer, R.M., Cecil, C.A.M., &amp; Muetzel R.L. (</w:t>
      </w:r>
      <w:r>
        <w:rPr>
          <w:iCs/>
          <w:i/>
        </w:rPr>
        <w:t xml:space="preserve">in preparation</w:t>
      </w:r>
      <w:r>
        <w:t xml:space="preserve">)</w:t>
      </w:r>
    </w:p>
    <w:bookmarkStart w:id="59" w:name="abstact-1"/>
    <w:p>
      <w:pPr>
        <w:pStyle w:val="Heading2"/>
      </w:pPr>
      <w:r>
        <w:t xml:space="preserve">Abstact</w:t>
      </w:r>
    </w:p>
    <w:bookmarkEnd w:id="59"/>
    <w:bookmarkStart w:id="60" w:name="introduction-3"/>
    <w:p>
      <w:pPr>
        <w:pStyle w:val="Heading2"/>
      </w:pPr>
      <w:r>
        <w:t xml:space="preserve">3.1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60"/>
    <w:bookmarkStart w:id="61" w:name="methods-2"/>
    <w:p>
      <w:pPr>
        <w:pStyle w:val="Heading2"/>
      </w:pPr>
      <w:r>
        <w:t xml:space="preserve">3.2 Methods</w:t>
      </w:r>
    </w:p>
    <w:bookmarkEnd w:id="61"/>
    <w:bookmarkStart w:id="62" w:name="discussion-2"/>
    <w:p>
      <w:pPr>
        <w:pStyle w:val="Heading2"/>
      </w:pPr>
      <w:r>
        <w:t xml:space="preserve">3.3 Discussion</w:t>
      </w:r>
    </w:p>
    <w:bookmarkEnd w:id="62"/>
    <w:bookmarkStart w:id="63" w:name="references-3"/>
    <w:p>
      <w:pPr>
        <w:pStyle w:val="Heading2"/>
      </w:pPr>
      <w:r>
        <w:t xml:space="preserve">References</w:t>
      </w:r>
    </w:p>
    <w:bookmarkEnd w:id="63"/>
    <w:bookmarkStart w:id="67" w:name="bibliography--3"/>
    <w:p>
      <w:pPr>
        <w:pStyle w:val="Heading2"/>
      </w:pPr>
      <w:r>
        <w:t xml:space="preserve">References</w:t>
      </w:r>
    </w:p>
    <w:bookmarkStart w:id="66" w:name="refs--3"/>
    <w:bookmarkStart w:id="64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64"/>
    <w:bookmarkStart w:id="65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65"/>
    <w:bookmarkEnd w:id="66"/>
    <w:bookmarkEnd w:id="67"/>
    <w:bookmarkEnd w:id="68"/>
    <w:bookmarkStart w:id="78" w:name="sec-chapter4"/>
    <w:p>
      <w:pPr>
        <w:pStyle w:val="Heading1"/>
      </w:pPr>
      <w:r>
        <w:t xml:space="preserve">4. ELS and cardiac morphology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Early-life stress exposure and heart morphology in childhood: a prospective population-based study</w:t>
      </w:r>
    </w:p>
    <w:p>
      <w:pPr>
        <w:pStyle w:val="BodyText"/>
      </w:pPr>
      <w:r>
        <w:rPr>
          <w:bCs/>
          <w:b/>
        </w:rPr>
        <w:t xml:space="preserve">Defina, S.</w:t>
      </w:r>
      <w:r>
        <w:t xml:space="preserve">, Kamphuis, A., Gaillard, R., &amp; Felix, J. F. (</w:t>
      </w:r>
      <w:r>
        <w:rPr>
          <w:iCs/>
          <w:i/>
        </w:rPr>
        <w:t xml:space="preserve">in preparation</w:t>
      </w:r>
      <w:r>
        <w:t xml:space="preserve">)</w:t>
      </w:r>
    </w:p>
    <w:bookmarkStart w:id="69" w:name="abstact-2"/>
    <w:p>
      <w:pPr>
        <w:pStyle w:val="Heading2"/>
      </w:pPr>
      <w:r>
        <w:t xml:space="preserve">Abstact</w:t>
      </w:r>
    </w:p>
    <w:bookmarkEnd w:id="69"/>
    <w:bookmarkStart w:id="70" w:name="introduction-4"/>
    <w:p>
      <w:pPr>
        <w:pStyle w:val="Heading2"/>
      </w:pPr>
      <w:r>
        <w:t xml:space="preserve">4.1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70"/>
    <w:bookmarkStart w:id="71" w:name="methods-3"/>
    <w:p>
      <w:pPr>
        <w:pStyle w:val="Heading2"/>
      </w:pPr>
      <w:r>
        <w:t xml:space="preserve">4.2 Methods</w:t>
      </w:r>
    </w:p>
    <w:bookmarkEnd w:id="71"/>
    <w:bookmarkStart w:id="72" w:name="discussion-3"/>
    <w:p>
      <w:pPr>
        <w:pStyle w:val="Heading2"/>
      </w:pPr>
      <w:r>
        <w:t xml:space="preserve">4.3 Discussion</w:t>
      </w:r>
    </w:p>
    <w:bookmarkEnd w:id="72"/>
    <w:bookmarkStart w:id="73" w:name="references-4"/>
    <w:p>
      <w:pPr>
        <w:pStyle w:val="Heading2"/>
      </w:pPr>
      <w:r>
        <w:t xml:space="preserve">References</w:t>
      </w:r>
    </w:p>
    <w:bookmarkEnd w:id="73"/>
    <w:bookmarkStart w:id="77" w:name="bibliography--4"/>
    <w:p>
      <w:pPr>
        <w:pStyle w:val="Heading2"/>
      </w:pPr>
      <w:r>
        <w:t xml:space="preserve">References</w:t>
      </w:r>
    </w:p>
    <w:bookmarkStart w:id="76" w:name="refs--4"/>
    <w:bookmarkStart w:id="74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74"/>
    <w:bookmarkStart w:id="75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75"/>
    <w:bookmarkEnd w:id="76"/>
    <w:bookmarkEnd w:id="77"/>
    <w:bookmarkEnd w:id="78"/>
    <w:bookmarkStart w:id="88" w:name="sec-chapter5"/>
    <w:p>
      <w:pPr>
        <w:pStyle w:val="Heading1"/>
      </w:pPr>
      <w:r>
        <w:t xml:space="preserve">5. Longitudinal psycho-physical co-development</w:t>
      </w:r>
    </w:p>
    <w:p>
      <w:pPr>
        <w:pStyle w:val="FirstParagraph"/>
      </w:pPr>
      <w:r>
        <w:t xml:space="preserve">Adapted from:</w:t>
      </w:r>
    </w:p>
    <w:p>
      <w:pPr>
        <w:pStyle w:val="BodyText"/>
      </w:pPr>
      <w:r>
        <w:t xml:space="preserve">Longitudinal co-development of depressive symptoms and cardio-metabolic risk factors from childhood to young adulthood</w:t>
      </w:r>
    </w:p>
    <w:p>
      <w:pPr>
        <w:pStyle w:val="BodyText"/>
      </w:pPr>
      <w:r>
        <w:t xml:space="preserve">Defina, S., Cecil, C.A.M., Felix, J.F., Walton, E., &amp; Tiemeier, H. (</w:t>
      </w:r>
      <w:r>
        <w:rPr>
          <w:iCs/>
          <w:i/>
        </w:rPr>
        <w:t xml:space="preserve">under revision</w:t>
      </w:r>
      <w:r>
        <w:t xml:space="preserve">)</w:t>
      </w:r>
    </w:p>
    <w:bookmarkStart w:id="79" w:name="abstact-3"/>
    <w:p>
      <w:pPr>
        <w:pStyle w:val="Heading2"/>
      </w:pPr>
      <w:r>
        <w:t xml:space="preserve">Abstact</w:t>
      </w:r>
    </w:p>
    <w:bookmarkEnd w:id="79"/>
    <w:bookmarkStart w:id="80" w:name="introduction-5"/>
    <w:p>
      <w:pPr>
        <w:pStyle w:val="Heading2"/>
      </w:pPr>
      <w:r>
        <w:t xml:space="preserve">5.1 Introduction</w:t>
      </w:r>
    </w:p>
    <w:p>
      <w:pPr>
        <w:pStyle w:val="FirstParagraph"/>
      </w:pPr>
      <w:r>
        <w:t xml:space="preserve">In summary, this book has no content whatsoever</w:t>
      </w:r>
      <w:r>
        <w:t xml:space="preserve"> </w:t>
      </w:r>
      <w:r>
        <w:t xml:space="preserve">(Boyd et al., 2012; Fraser et al., 2013)</w:t>
      </w:r>
      <w:r>
        <w:t xml:space="preserve">. But I shall write it anyway cause. Cause I kind of do have no choice so, checking justification works</w:t>
      </w:r>
    </w:p>
    <w:bookmarkEnd w:id="80"/>
    <w:bookmarkStart w:id="81" w:name="methods-4"/>
    <w:p>
      <w:pPr>
        <w:pStyle w:val="Heading2"/>
      </w:pPr>
      <w:r>
        <w:t xml:space="preserve">5.2 Methods</w:t>
      </w:r>
    </w:p>
    <w:bookmarkEnd w:id="81"/>
    <w:bookmarkStart w:id="82" w:name="discussion-4"/>
    <w:p>
      <w:pPr>
        <w:pStyle w:val="Heading2"/>
      </w:pPr>
      <w:r>
        <w:t xml:space="preserve">5.3 Discussion</w:t>
      </w:r>
    </w:p>
    <w:bookmarkEnd w:id="82"/>
    <w:bookmarkStart w:id="83" w:name="references-5"/>
    <w:p>
      <w:pPr>
        <w:pStyle w:val="Heading2"/>
      </w:pPr>
      <w:r>
        <w:t xml:space="preserve">References</w:t>
      </w:r>
    </w:p>
    <w:bookmarkEnd w:id="83"/>
    <w:bookmarkStart w:id="87" w:name="bibliography--5"/>
    <w:p>
      <w:pPr>
        <w:pStyle w:val="Heading2"/>
      </w:pPr>
      <w:r>
        <w:t xml:space="preserve">References</w:t>
      </w:r>
    </w:p>
    <w:bookmarkStart w:id="86" w:name="refs--5"/>
    <w:bookmarkStart w:id="84" w:name="ref-Boyd2012"/>
    <w:p>
      <w:pPr>
        <w:pStyle w:val="FirstParagraph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84"/>
    <w:bookmarkStart w:id="85" w:name="ref-Fraser2013"/>
    <w:p>
      <w:pPr>
        <w:pStyle w:val="BodyText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85"/>
    <w:bookmarkEnd w:id="86"/>
    <w:bookmarkEnd w:id="87"/>
    <w:bookmarkEnd w:id="88"/>
    <w:bookmarkStart w:id="90" w:name="discussion-5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See</w:t>
      </w:r>
      <w:r>
        <w:t xml:space="preserve"> </w:t>
      </w:r>
      <w:hyperlink w:anchor="sec-chapter1">
        <w:r>
          <w:rPr>
            <w:rStyle w:val="Hyperlink"/>
          </w:rPr>
          <w:t xml:space="preserve">Chapter 1</w:t>
        </w:r>
      </w:hyperlink>
      <w:r>
        <w:t xml:space="preserve"> </w:t>
      </w:r>
      <w:r>
        <w:t xml:space="preserve">for whatever whatever.</w:t>
      </w:r>
    </w:p>
    <w:bookmarkStart w:id="89" w:name="references-6"/>
    <w:p>
      <w:pPr>
        <w:pStyle w:val="Heading2"/>
      </w:pPr>
      <w:r>
        <w:t xml:space="preserve">References</w:t>
      </w:r>
    </w:p>
    <w:bookmarkEnd w:id="89"/>
    <w:bookmarkEnd w:id="90"/>
    <w:bookmarkStart w:id="97" w:name="bibliography"/>
    <w:p>
      <w:pPr>
        <w:pStyle w:val="Heading1"/>
      </w:pPr>
      <w:r>
        <w:t xml:space="preserve">References</w:t>
      </w:r>
    </w:p>
    <w:bookmarkStart w:id="96" w:name="refs"/>
    <w:bookmarkStart w:id="91" w:name="ref-Boyd2012"/>
    <w:p>
      <w:pPr>
        <w:pStyle w:val="Bibliography"/>
      </w:pPr>
      <w:r>
        <w:t xml:space="preserve">Boyd, A., Golding, J., Macleod, J., Lawlor, D. A., Fraser, A., Henderson, J., Molloy, L., Ness, A., Ring, S., &amp; Davey Smith, G. (2012). Cohort profile: The ’children of the 90s’—the index offspring of the avon longitudinal study of parents and children [Journal Article].</w:t>
      </w:r>
      <w:r>
        <w:t xml:space="preserve"> </w:t>
      </w:r>
      <w:r>
        <w:rPr>
          <w:iCs/>
          <w:i/>
        </w:rPr>
        <w:t xml:space="preserve">International Journal of Epidemiology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111–127.</w:t>
      </w:r>
      <w:r>
        <w:t xml:space="preserve"> </w:t>
      </w:r>
      <w:hyperlink r:id="rId53">
        <w:r>
          <w:rPr>
            <w:rStyle w:val="Hyperlink"/>
          </w:rPr>
          <w:t xml:space="preserve">https://doi.org/10.1093/ije/dys064</w:t>
        </w:r>
      </w:hyperlink>
    </w:p>
    <w:bookmarkEnd w:id="91"/>
    <w:bookmarkStart w:id="92" w:name="ref-RN225"/>
    <w:p>
      <w:pPr>
        <w:pStyle w:val="Bibliography"/>
      </w:pPr>
      <w:r>
        <w:t xml:space="preserve">Elsenburg, L. K., Wijk, K. J. E. van, Liefbroer, A. C., &amp; Smidt, N. (2017). Accumulation of adverse childhood events and overweight in children: A systematic review and meta-analysis [Journal Article].</w:t>
      </w:r>
      <w:r>
        <w:t xml:space="preserve"> </w:t>
      </w:r>
      <w:r>
        <w:rPr>
          <w:iCs/>
          <w:i/>
        </w:rPr>
        <w:t xml:space="preserve">Obesity (Silver Spring)</w:t>
      </w:r>
      <w:r>
        <w:t xml:space="preserve">,</w:t>
      </w:r>
      <w:r>
        <w:t xml:space="preserve"> </w:t>
      </w:r>
      <w:r>
        <w:rPr>
          <w:iCs/>
          <w:i/>
        </w:rPr>
        <w:t xml:space="preserve">25</w:t>
      </w:r>
      <w:r>
        <w:t xml:space="preserve">(5), 820–832.</w:t>
      </w:r>
      <w:r>
        <w:t xml:space="preserve"> </w:t>
      </w:r>
      <w:hyperlink r:id="rId41">
        <w:r>
          <w:rPr>
            <w:rStyle w:val="Hyperlink"/>
          </w:rPr>
          <w:t xml:space="preserve">https://doi.org/10.1002/oby.21797</w:t>
        </w:r>
      </w:hyperlink>
    </w:p>
    <w:bookmarkEnd w:id="92"/>
    <w:bookmarkStart w:id="93" w:name="ref-Fraser2013"/>
    <w:p>
      <w:pPr>
        <w:pStyle w:val="Bibliography"/>
      </w:pPr>
      <w:r>
        <w:t xml:space="preserve">Fraser, A., Macdonald-Wallis, C., Tilling, K., Boyd, A., Golding, J., Davey Smith, G., Henderson, J., Macleod, J., Molloy, L., Ness, A., Ring, S., Nelson, S. M., &amp; Lawlor, D. A. (2013). Cohort profile: The avon longitudinal study of parents and children: ALSPAC mothers cohort [Journal Article].</w:t>
      </w:r>
      <w:r>
        <w:t xml:space="preserve"> </w:t>
      </w:r>
      <w:r>
        <w:rPr>
          <w:iCs/>
          <w:i/>
        </w:rPr>
        <w:t xml:space="preserve">Int J Epidemiol</w:t>
      </w:r>
      <w:r>
        <w:t xml:space="preserve">,</w:t>
      </w:r>
      <w:r>
        <w:t xml:space="preserve"> </w:t>
      </w:r>
      <w:r>
        <w:rPr>
          <w:iCs/>
          <w:i/>
        </w:rPr>
        <w:t xml:space="preserve">42</w:t>
      </w:r>
      <w:r>
        <w:t xml:space="preserve">(1), 97–110.</w:t>
      </w:r>
      <w:r>
        <w:t xml:space="preserve"> </w:t>
      </w:r>
      <w:hyperlink r:id="rId28">
        <w:r>
          <w:rPr>
            <w:rStyle w:val="Hyperlink"/>
          </w:rPr>
          <w:t xml:space="preserve">https://doi.org/10.1093/ije/dys066</w:t>
        </w:r>
      </w:hyperlink>
    </w:p>
    <w:bookmarkEnd w:id="93"/>
    <w:bookmarkStart w:id="94" w:name="ref-Rcore2021"/>
    <w:p>
      <w:pPr>
        <w:pStyle w:val="Bibliography"/>
      </w:pPr>
      <w:r>
        <w:t xml:space="preserve">R Core Team. (2021).</w:t>
      </w:r>
      <w:r>
        <w:t xml:space="preserve"> </w:t>
      </w:r>
      <w:r>
        <w:rPr>
          <w:iCs/>
          <w:i/>
        </w:rPr>
        <w:t xml:space="preserve">R: A language and environment for statistical computing</w:t>
      </w:r>
      <w:r>
        <w:t xml:space="preserve"> </w:t>
      </w:r>
      <w:r>
        <w:t xml:space="preserve">[Journal Article].</w:t>
      </w:r>
      <w:r>
        <w:t xml:space="preserve"> </w:t>
      </w:r>
      <w:hyperlink r:id="rId30">
        <w:r>
          <w:rPr>
            <w:rStyle w:val="Hyperlink"/>
          </w:rPr>
          <w:t xml:space="preserve">https://www.R-project.org/</w:t>
        </w:r>
      </w:hyperlink>
    </w:p>
    <w:bookmarkEnd w:id="94"/>
    <w:bookmarkStart w:id="95" w:name="ref-RN243"/>
    <w:p>
      <w:pPr>
        <w:pStyle w:val="Bibliography"/>
      </w:pPr>
      <w:r>
        <w:t xml:space="preserve">Wiklund, P., Toss, F., Weinehall, L., Hallmans, G., Franks, P. W., Nordstrom, A., &amp; Nordstrom, P. (2008). Abdominal and gynoid fat mass are associated with cardiovascular risk factors in men and women [Journal Article].</w:t>
      </w:r>
      <w:r>
        <w:t xml:space="preserve"> </w:t>
      </w:r>
      <w:r>
        <w:rPr>
          <w:iCs/>
          <w:i/>
        </w:rPr>
        <w:t xml:space="preserve">The Journal of Clinical Endocrinology &amp; Metabolism</w:t>
      </w:r>
      <w:r>
        <w:t xml:space="preserve">,</w:t>
      </w:r>
      <w:r>
        <w:t xml:space="preserve"> </w:t>
      </w:r>
      <w:r>
        <w:rPr>
          <w:iCs/>
          <w:i/>
        </w:rPr>
        <w:t xml:space="preserve">93</w:t>
      </w:r>
      <w:r>
        <w:t xml:space="preserve">(11), 4360–4366.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41" Target="https://doi.org/10.1002/oby.21797" TargetMode="External" /><Relationship Type="http://schemas.openxmlformats.org/officeDocument/2006/relationships/hyperlink" Id="rId35" Target="https://doi.org/10.1016/j.jaac.2023.05.034" TargetMode="External" /><Relationship Type="http://schemas.openxmlformats.org/officeDocument/2006/relationships/hyperlink" Id="rId47" Target="https://doi.org/10.1016/j.ypmed.2024.107926" TargetMode="External" /><Relationship Type="http://schemas.openxmlformats.org/officeDocument/2006/relationships/hyperlink" Id="rId53" Target="https://doi.org/10.1093/ije/dys064" TargetMode="External" /><Relationship Type="http://schemas.openxmlformats.org/officeDocument/2006/relationships/hyperlink" Id="rId28" Target="https://doi.org/10.1093/ije/dys066" TargetMode="External" /><Relationship Type="http://schemas.openxmlformats.org/officeDocument/2006/relationships/hyperlink" Id="rId30" Target="https://www.R-project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doi.org/10.1002/oby.21797" TargetMode="External" /><Relationship Type="http://schemas.openxmlformats.org/officeDocument/2006/relationships/hyperlink" Id="rId35" Target="https://doi.org/10.1016/j.jaac.2023.05.034" TargetMode="External" /><Relationship Type="http://schemas.openxmlformats.org/officeDocument/2006/relationships/hyperlink" Id="rId47" Target="https://doi.org/10.1016/j.ypmed.2024.107926" TargetMode="External" /><Relationship Type="http://schemas.openxmlformats.org/officeDocument/2006/relationships/hyperlink" Id="rId53" Target="https://doi.org/10.1093/ije/dys064" TargetMode="External" /><Relationship Type="http://schemas.openxmlformats.org/officeDocument/2006/relationships/hyperlink" Id="rId28" Target="https://doi.org/10.1093/ije/dys066" TargetMode="External" /><Relationship Type="http://schemas.openxmlformats.org/officeDocument/2006/relationships/hyperlink" Id="rId30" Target="https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 the skin</dc:title>
  <dc:creator/>
  <cp:keywords/>
  <dcterms:created xsi:type="dcterms:W3CDTF">2025-04-03T09:28:28Z</dcterms:created>
  <dcterms:modified xsi:type="dcterms:W3CDTF">2025-04-03T09:28:28Z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csl">
    <vt:lpwstr>apa.csl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number-depth">
    <vt:lpwstr>3</vt:lpwstr>
  </property>
  <property fmtid="{D5CDD505-2E9C-101B-9397-08002B2CF9AE}" pid="12" name="reference-section-title">
    <vt:lpwstr>References</vt:lpwstr>
  </property>
  <property fmtid="{D5CDD505-2E9C-101B-9397-08002B2CF9AE}" pid="13" name="subtitle">
    <vt:lpwstr>Early-life stress exposure and the co-occurrence of mental and physical health problems</vt:lpwstr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