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skin</w:t>
      </w:r>
    </w:p>
    <w:p>
      <w:pPr>
        <w:pStyle w:val="Subtitle"/>
      </w:pPr>
      <w:r>
        <w:t xml:space="preserve">Early-life</w:t>
      </w:r>
      <w:r>
        <w:t xml:space="preserve"> </w:t>
      </w:r>
      <w:r>
        <w:t xml:space="preserve">stress</w:t>
      </w:r>
      <w:r>
        <w:t xml:space="preserve"> </w:t>
      </w:r>
      <w:r>
        <w:t xml:space="preserve">exposure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co-occurrence</w:t>
      </w:r>
      <w:r>
        <w:t xml:space="preserve"> </w:t>
      </w:r>
      <w:r>
        <w:t xml:space="preserve">of</w:t>
      </w:r>
      <w:r>
        <w:t xml:space="preserve"> </w:t>
      </w:r>
      <w:r>
        <w:t xml:space="preserve">mental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health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In the depth of winter, I found there was, within me, an invincible summer.</w:t>
      </w:r>
      <w:r>
        <w:rPr>
          <w:iCs/>
          <w:i/>
        </w:rPr>
        <w:t xml:space="preserve">”</w:t>
      </w:r>
      <w:r>
        <w:t xml:space="preserve"> </w:t>
      </w:r>
      <w:r>
        <w:t xml:space="preserve">Albert Camus – Summer (1954)</w:t>
      </w:r>
    </w:p>
    <w:bookmarkStart w:id="20" w:name="author"/>
    <w:p>
      <w:pPr>
        <w:pStyle w:val="Heading4"/>
      </w:pPr>
      <w:r>
        <w:t xml:space="preserve">AUTHOR</w:t>
      </w:r>
    </w:p>
    <w:p>
      <w:pPr>
        <w:pStyle w:val="FirstParagraph"/>
      </w:pPr>
      <w:r>
        <w:t xml:space="preserve">      Serena Defina</w:t>
      </w:r>
    </w:p>
    <w:bookmarkEnd w:id="20"/>
    <w:bookmarkStart w:id="21" w:name="promotor"/>
    <w:p>
      <w:pPr>
        <w:pStyle w:val="Heading4"/>
      </w:pPr>
      <w:r>
        <w:t xml:space="preserve">PROMOTOR</w:t>
      </w:r>
    </w:p>
    <w:p>
      <w:pPr>
        <w:pStyle w:val="FirstParagraph"/>
      </w:pPr>
      <w:r>
        <w:t xml:space="preserve">      Henning Tiemier</w:t>
      </w:r>
    </w:p>
    <w:bookmarkEnd w:id="21"/>
    <w:bookmarkStart w:id="25" w:name="co-promotors"/>
    <w:p>
      <w:pPr>
        <w:pStyle w:val="Heading4"/>
      </w:pPr>
      <w:r>
        <w:t xml:space="preserve">CO-PROMOTORS</w:t>
      </w:r>
    </w:p>
    <w:p>
      <w:pPr>
        <w:pStyle w:val="FirstParagraph"/>
      </w:pPr>
      <w:r>
        <w:t xml:space="preserve">      Charlotte A.M. Cecil</w:t>
      </w:r>
      <w:r>
        <w:br/>
      </w:r>
      <w:r>
        <w:t xml:space="preserve">      Janine F. Felix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work in progress. Stay tuned :)</w:t>
            </w:r>
          </w:p>
        </w:tc>
      </w:tr>
    </w:tbl>
    <w:bookmarkEnd w:id="25"/>
    <w:bookmarkStart w:id="26" w:name="aknowledgements"/>
    <w:p>
      <w:pPr>
        <w:pStyle w:val="Heading2"/>
      </w:pPr>
      <w:r>
        <w:t xml:space="preserve">Aknowledgements</w:t>
      </w:r>
    </w:p>
    <w:p>
      <w:pPr>
        <w:pStyle w:val="FirstParagraph"/>
      </w:pPr>
      <w:r>
        <w:t xml:space="preserve">TODO</w:t>
      </w:r>
    </w:p>
    <w:bookmarkEnd w:id="26"/>
    <w:bookmarkEnd w:id="27"/>
    <w:bookmarkStart w:id="3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Dear reader,</w:t>
      </w:r>
    </w:p>
    <w:p>
      <w:pPr>
        <w:pStyle w:val="BodyText"/>
      </w:pPr>
      <w:r>
        <w:t xml:space="preserve">oh my good why does this not update</w:t>
      </w:r>
    </w:p>
    <w:p>
      <w:pPr>
        <w:pStyle w:val="BodyText"/>
      </w:pPr>
      <w:r>
        <w:t xml:space="preserve">This an that</w:t>
      </w:r>
      <w:r>
        <w:t xml:space="preserve"> </w:t>
      </w:r>
      <w:r>
        <w:t xml:space="preserve">(Fraser et al., 2013; R Core Team, 2021)</w:t>
      </w:r>
    </w:p>
    <w:p>
      <w:pPr>
        <w:pStyle w:val="BodyText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additional discussion.</w:t>
      </w:r>
    </w:p>
    <w:bookmarkStart w:id="28" w:name="references"/>
    <w:p>
      <w:pPr>
        <w:pStyle w:val="Heading2"/>
      </w:pPr>
      <w:r>
        <w:t xml:space="preserve">References</w:t>
      </w:r>
    </w:p>
    <w:bookmarkEnd w:id="28"/>
    <w:bookmarkStart w:id="34" w:name="X3b18695518a9f3408fee646219a10a163009e17"/>
    <w:p>
      <w:pPr>
        <w:pStyle w:val="Heading2"/>
      </w:pPr>
      <w:r>
        <w:t xml:space="preserve">References</w:t>
      </w:r>
    </w:p>
    <w:bookmarkStart w:id="33" w:name="Xa7a4974e9966830d7b5795e07f2c2a561a29171"/>
    <w:bookmarkStart w:id="30" w:name="ref-Fraser2013"/>
    <w:p>
      <w:pPr>
        <w:pStyle w:val="FirstParagraph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9">
        <w:r>
          <w:rPr>
            <w:rStyle w:val="Hyperlink"/>
          </w:rPr>
          <w:t xml:space="preserve">https://doi.org/10.1093/ije/dys066</w:t>
        </w:r>
      </w:hyperlink>
    </w:p>
    <w:bookmarkEnd w:id="30"/>
    <w:bookmarkStart w:id="32" w:name="ref-Rcore2021"/>
    <w:p>
      <w:pPr>
        <w:pStyle w:val="BodyText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bookmarkEnd w:id="32"/>
    <w:bookmarkEnd w:id="33"/>
    <w:bookmarkEnd w:id="34"/>
    <w:bookmarkEnd w:id="35"/>
    <w:bookmarkStart w:id="46" w:name="sec-chapter1"/>
    <w:p>
      <w:pPr>
        <w:pStyle w:val="Heading1"/>
      </w:pPr>
      <w:r>
        <w:t xml:space="preserve">1.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rPr>
          <w:bCs/>
          <w:b/>
        </w:rPr>
        <w:t xml:space="preserve">Differential effects of pre- and postnatal early-life stress on internalizing, adiposity and their comorbidity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Pariante, C. M., Lekadir, K., Jaddoe, V. W., Serdarevic, F., Tiemeier, H., Walton, E., Felix, J. F., &amp; Cecil, C. A. M.,</w:t>
      </w:r>
      <w:r>
        <w:t xml:space="preserve"> </w:t>
      </w:r>
      <w:r>
        <w:rPr>
          <w:iCs/>
          <w:i/>
        </w:rPr>
        <w:t xml:space="preserve">on behalf of the EarlyCause Consortium. (2023).</w:t>
      </w:r>
      <w:r>
        <w:rPr>
          <w:iCs/>
          <w:i/>
        </w:rPr>
        <w:t xml:space="preserve"> </w:t>
      </w:r>
      <w:r>
        <w:t xml:space="preserve">JAACAP*.</w:t>
      </w:r>
      <w:r>
        <w:t xml:space="preserve"> </w:t>
      </w:r>
      <w:hyperlink r:id="rId36">
        <w:r>
          <w:rPr>
            <w:rStyle w:val="Hyperlink"/>
          </w:rPr>
          <w:t xml:space="preserve">DOI</w:t>
        </w:r>
      </w:hyperlink>
    </w:p>
    <w:bookmarkStart w:id="37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u w:val="single"/>
        </w:rPr>
        <w:t xml:space="preserve">Objective</w:t>
      </w:r>
      <w:r>
        <w:t xml:space="preserve">: Depression and obesity are two highly prevalent and often comorbid conditions. Exposure to early-life stress (ELS) has been associated with both depression and obesity in adulthood, as well as their preclinical manifestations during development. However, it remains unclear whether: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associations differ depending on the timing of stress exposure (prenatal vs postnatal)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ELS is a shared risk factor underlying the comorbidity between the two conditions.</w:t>
      </w:r>
    </w:p>
    <w:p>
      <w:pPr>
        <w:pStyle w:val="BodyText"/>
      </w:pPr>
      <w:r>
        <w:rPr>
          <w:u w:val="single"/>
        </w:rPr>
        <w:t xml:space="preserve">Method</w:t>
      </w:r>
      <w:r>
        <w:t xml:space="preserve">: Leveraging data from two large population-based birth cohorts (ALSPAC: n=8428 (52% male participants); Generation R: n=4268 (48% male participants)), we constructed comprehensive cumulative measures of prenatal (in utero) and postnatal (from birth to 10 years) ELS. At age 13.5 years we assessed: a) internalizing symptoms (using maternal reports); b) fat mass percentage (using dual-energy X-ray absorptiometry); c) their comorbidity, defined as the co-occurrence of high internalizing and high adiposity.</w:t>
      </w:r>
    </w:p>
    <w:p>
      <w:pPr>
        <w:pStyle w:val="BodyText"/>
      </w:pPr>
      <w:r>
        <w:rPr>
          <w:u w:val="single"/>
        </w:rPr>
        <w:t xml:space="preserve">Results</w:t>
      </w:r>
      <w:r>
        <w:t xml:space="preserve">: Both prenatal (</w:t>
      </w:r>
      <w:r>
        <w:rPr>
          <w:iCs/>
          <w:i/>
        </w:rPr>
        <w:t xml:space="preserve">total effect</w:t>
      </w:r>
      <w:r>
        <w:t xml:space="preserve"> </w:t>
      </w:r>
      <w:r>
        <w:t xml:space="preserve">[95%CI] = 0.20 [0.16; 0.22]) and postnatal stress (</w:t>
      </w:r>
      <m:oMath>
        <m:r>
          <m:t>β</m:t>
        </m:r>
      </m:oMath>
      <w:r>
        <w:t xml:space="preserve"> </w:t>
      </w:r>
      <w:r>
        <w:t xml:space="preserve">[95%CI] = 0.22 [0.17; 0.25]) were associated with higher internalizing symptoms, with evidence of a more prominent role of postnatal stress. A weaker association (primarily driven by prenatal stress) was observed between stress and adiposity (prenatal: 0.07 [0.05; 0.09]; postnatal: 0.04 [0.01; 0.07]). Both pre- (OR [95%CI] = 1.70 [1.47; 1.97]) and postnatal stress (1.87 [1.61; 2.17]) were associated with an increased risk of developing comorbidity.</w:t>
      </w:r>
    </w:p>
    <w:p>
      <w:pPr>
        <w:pStyle w:val="BodyText"/>
      </w:pPr>
      <w:r>
        <w:rPr>
          <w:u w:val="single"/>
        </w:rPr>
        <w:t xml:space="preserve">Conclusion</w:t>
      </w:r>
      <w:r>
        <w:t xml:space="preserve">: We found evidence of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timing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shared causal effects of ELS on psycho-cardiometabolic health in adolescence, but future research is warranted to clarify how these associations may unfold over time.</w:t>
      </w:r>
    </w:p>
    <w:bookmarkEnd w:id="37"/>
    <w:bookmarkStart w:id="3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(Elsenburg et al., 2017; Wiklund et al., 2008)</w:t>
      </w:r>
      <w:r>
        <w:t xml:space="preserve">. But I shall write it anyway cause. Cause I kind of do have no choice so, checking justification works</w:t>
      </w:r>
    </w:p>
    <w:bookmarkEnd w:id="38"/>
    <w:bookmarkStart w:id="39" w:name="methods"/>
    <w:p>
      <w:pPr>
        <w:pStyle w:val="Heading2"/>
      </w:pPr>
      <w:r>
        <w:t xml:space="preserve">1.2 Methods</w:t>
      </w:r>
    </w:p>
    <w:bookmarkEnd w:id="39"/>
    <w:bookmarkStart w:id="40" w:name="discussion"/>
    <w:p>
      <w:pPr>
        <w:pStyle w:val="Heading2"/>
      </w:pPr>
      <w:r>
        <w:t xml:space="preserve">1.3 Discussion</w:t>
      </w:r>
    </w:p>
    <w:bookmarkEnd w:id="40"/>
    <w:bookmarkStart w:id="45" w:name="references-1"/>
    <w:p>
      <w:pPr>
        <w:pStyle w:val="Heading2"/>
      </w:pPr>
      <w:r>
        <w:t xml:space="preserve">References</w:t>
      </w:r>
    </w:p>
    <w:bookmarkStart w:id="44" w:name="refs--1"/>
    <w:bookmarkStart w:id="42" w:name="ref-RN225"/>
    <w:p>
      <w:pPr>
        <w:pStyle w:val="FirstParagraph"/>
      </w:pPr>
      <w:r>
        <w:t xml:space="preserve">Elsenburg, L. K., Wijk, K. J. E. van, Liefbroer, A. C., &amp; Smidt, N. (2017). Accumulation of adverse childhood events and overweight in children: A systematic review and meta-analysis [Journal Article].</w:t>
      </w:r>
      <w:r>
        <w:t xml:space="preserve"> </w:t>
      </w:r>
      <w:r>
        <w:rPr>
          <w:iCs/>
          <w:i/>
        </w:rPr>
        <w:t xml:space="preserve">Obesity (Silver Spring)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(5), 820–832.</w:t>
      </w:r>
      <w:r>
        <w:t xml:space="preserve"> </w:t>
      </w:r>
      <w:hyperlink r:id="rId41">
        <w:r>
          <w:rPr>
            <w:rStyle w:val="Hyperlink"/>
          </w:rPr>
          <w:t xml:space="preserve">https://doi.org/10.1002/oby.21797</w:t>
        </w:r>
      </w:hyperlink>
    </w:p>
    <w:bookmarkEnd w:id="42"/>
    <w:bookmarkStart w:id="43" w:name="ref-RN243"/>
    <w:p>
      <w:pPr>
        <w:pStyle w:val="BodyText"/>
      </w:pPr>
      <w:r>
        <w:t xml:space="preserve">Wiklund, P., Toss, F., Weinehall, L., Hallmans, G., Franks, P. W., Nordstrom, A., &amp; Nordstrom, P. (2008). Abdominal and gynoid fat mass are associated with cardiovascular risk factors in men and women [Journal Article].</w:t>
      </w:r>
      <w:r>
        <w:t xml:space="preserve"> </w:t>
      </w:r>
      <w:r>
        <w:rPr>
          <w:iCs/>
          <w:i/>
        </w:rPr>
        <w:t xml:space="preserve">The Journal of Clinical Endocrinology &amp; Metabolism</w:t>
      </w:r>
      <w:r>
        <w:t xml:space="preserve">,</w:t>
      </w:r>
      <w:r>
        <w:t xml:space="preserve"> </w:t>
      </w:r>
      <w:r>
        <w:rPr>
          <w:iCs/>
          <w:i/>
        </w:rPr>
        <w:t xml:space="preserve">93</w:t>
      </w:r>
      <w:r>
        <w:t xml:space="preserve">(11), 4360–4366.</w:t>
      </w:r>
    </w:p>
    <w:bookmarkEnd w:id="43"/>
    <w:bookmarkEnd w:id="44"/>
    <w:bookmarkEnd w:id="45"/>
    <w:bookmarkEnd w:id="46"/>
    <w:bookmarkStart w:id="58" w:name="sec-chapter2"/>
    <w:p>
      <w:pPr>
        <w:pStyle w:val="Heading1"/>
      </w:pPr>
      <w:r>
        <w:t xml:space="preserve">2. Lifestyle factors,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The role of lifestyle factors in the association between early-life stress and adolescent psycho-physical health: Moderation analysis in two European birth cohorts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Tiemeier, H., Fairchild, G., Felix, J. F., Cecil, C.A.M., &amp; Walton, E. (2024).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</w:p>
    <w:bookmarkStart w:id="48" w:name="abstact"/>
    <w:p>
      <w:pPr>
        <w:pStyle w:val="Heading2"/>
      </w:pPr>
      <w:r>
        <w:t xml:space="preserve">Abstact</w:t>
      </w:r>
    </w:p>
    <w:bookmarkEnd w:id="48"/>
    <w:bookmarkStart w:id="49" w:name="introduction-2"/>
    <w:p>
      <w:pPr>
        <w:pStyle w:val="Heading2"/>
      </w:pPr>
      <w:r>
        <w:t xml:space="preserve">2.1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49"/>
    <w:bookmarkStart w:id="50" w:name="methods-1"/>
    <w:p>
      <w:pPr>
        <w:pStyle w:val="Heading2"/>
      </w:pPr>
      <w:r>
        <w:t xml:space="preserve">2.2 Methods</w:t>
      </w:r>
    </w:p>
    <w:bookmarkEnd w:id="50"/>
    <w:bookmarkStart w:id="51" w:name="discussion-1"/>
    <w:p>
      <w:pPr>
        <w:pStyle w:val="Heading2"/>
      </w:pPr>
      <w:r>
        <w:t xml:space="preserve">2.3 Discussion</w:t>
      </w:r>
    </w:p>
    <w:bookmarkEnd w:id="51"/>
    <w:bookmarkStart w:id="52" w:name="references-2"/>
    <w:p>
      <w:pPr>
        <w:pStyle w:val="Heading2"/>
      </w:pPr>
      <w:r>
        <w:t xml:space="preserve">References</w:t>
      </w:r>
    </w:p>
    <w:bookmarkEnd w:id="52"/>
    <w:bookmarkStart w:id="57" w:name="bibliography--2"/>
    <w:p>
      <w:pPr>
        <w:pStyle w:val="Heading2"/>
      </w:pPr>
      <w:r>
        <w:t xml:space="preserve">References</w:t>
      </w:r>
    </w:p>
    <w:bookmarkStart w:id="56" w:name="refs--2"/>
    <w:bookmarkStart w:id="5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54"/>
    <w:bookmarkStart w:id="5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9">
        <w:r>
          <w:rPr>
            <w:rStyle w:val="Hyperlink"/>
          </w:rPr>
          <w:t xml:space="preserve">https://doi.org/10.1093/ije/dys066</w:t>
        </w:r>
      </w:hyperlink>
    </w:p>
    <w:bookmarkEnd w:id="55"/>
    <w:bookmarkEnd w:id="56"/>
    <w:bookmarkEnd w:id="57"/>
    <w:bookmarkEnd w:id="58"/>
    <w:bookmarkStart w:id="68" w:name="sec-chapter3"/>
    <w:p>
      <w:pPr>
        <w:pStyle w:val="Heading1"/>
      </w:pPr>
      <w:r>
        <w:t xml:space="preserve">3. ELS and intracortical myelination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intracortical myelination in childhood: a population-based neuroimaging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Manzoni, D., Tiemeier, H., Brouwer, R.M., Cecil, C.A.M., &amp; Muetzel R.L. (</w:t>
      </w:r>
      <w:r>
        <w:rPr>
          <w:iCs/>
          <w:i/>
        </w:rPr>
        <w:t xml:space="preserve">in preparation</w:t>
      </w:r>
      <w:r>
        <w:t xml:space="preserve">)</w:t>
      </w:r>
    </w:p>
    <w:bookmarkStart w:id="59" w:name="abstact-1"/>
    <w:p>
      <w:pPr>
        <w:pStyle w:val="Heading2"/>
      </w:pPr>
      <w:r>
        <w:t xml:space="preserve">Abstact</w:t>
      </w:r>
    </w:p>
    <w:bookmarkEnd w:id="59"/>
    <w:bookmarkStart w:id="60" w:name="introduction-3"/>
    <w:p>
      <w:pPr>
        <w:pStyle w:val="Heading2"/>
      </w:pPr>
      <w:r>
        <w:t xml:space="preserve">3.1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60"/>
    <w:bookmarkStart w:id="61" w:name="methods-2"/>
    <w:p>
      <w:pPr>
        <w:pStyle w:val="Heading2"/>
      </w:pPr>
      <w:r>
        <w:t xml:space="preserve">3.2 Methods</w:t>
      </w:r>
    </w:p>
    <w:bookmarkEnd w:id="61"/>
    <w:bookmarkStart w:id="62" w:name="discussion-2"/>
    <w:p>
      <w:pPr>
        <w:pStyle w:val="Heading2"/>
      </w:pPr>
      <w:r>
        <w:t xml:space="preserve">3.3 Discussion</w:t>
      </w:r>
    </w:p>
    <w:bookmarkEnd w:id="62"/>
    <w:bookmarkStart w:id="63" w:name="references-3"/>
    <w:p>
      <w:pPr>
        <w:pStyle w:val="Heading2"/>
      </w:pPr>
      <w:r>
        <w:t xml:space="preserve">References</w:t>
      </w:r>
    </w:p>
    <w:bookmarkEnd w:id="63"/>
    <w:bookmarkStart w:id="67" w:name="bibliography--3"/>
    <w:p>
      <w:pPr>
        <w:pStyle w:val="Heading2"/>
      </w:pPr>
      <w:r>
        <w:t xml:space="preserve">References</w:t>
      </w:r>
    </w:p>
    <w:bookmarkStart w:id="66" w:name="refs--3"/>
    <w:bookmarkStart w:id="6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64"/>
    <w:bookmarkStart w:id="6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9">
        <w:r>
          <w:rPr>
            <w:rStyle w:val="Hyperlink"/>
          </w:rPr>
          <w:t xml:space="preserve">https://doi.org/10.1093/ije/dys066</w:t>
        </w:r>
      </w:hyperlink>
    </w:p>
    <w:bookmarkEnd w:id="65"/>
    <w:bookmarkEnd w:id="66"/>
    <w:bookmarkEnd w:id="67"/>
    <w:bookmarkEnd w:id="68"/>
    <w:bookmarkStart w:id="78" w:name="sec-chapter4"/>
    <w:p>
      <w:pPr>
        <w:pStyle w:val="Heading1"/>
      </w:pPr>
      <w:r>
        <w:t xml:space="preserve">4. ELS and cardiac morphology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heart morphology in childhood: a prospective population-based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Kamphuis, A., Gaillard, R., &amp; Felix, J. F. (</w:t>
      </w:r>
      <w:r>
        <w:rPr>
          <w:iCs/>
          <w:i/>
        </w:rPr>
        <w:t xml:space="preserve">in preparation</w:t>
      </w:r>
      <w:r>
        <w:t xml:space="preserve">)</w:t>
      </w:r>
    </w:p>
    <w:bookmarkStart w:id="69" w:name="abstact-2"/>
    <w:p>
      <w:pPr>
        <w:pStyle w:val="Heading2"/>
      </w:pPr>
      <w:r>
        <w:t xml:space="preserve">Abstact</w:t>
      </w:r>
    </w:p>
    <w:bookmarkEnd w:id="69"/>
    <w:bookmarkStart w:id="70" w:name="introduction-4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70"/>
    <w:bookmarkStart w:id="71" w:name="methods-3"/>
    <w:p>
      <w:pPr>
        <w:pStyle w:val="Heading2"/>
      </w:pPr>
      <w:r>
        <w:t xml:space="preserve">4.2 Methods</w:t>
      </w:r>
    </w:p>
    <w:bookmarkEnd w:id="71"/>
    <w:bookmarkStart w:id="72" w:name="discussion-3"/>
    <w:p>
      <w:pPr>
        <w:pStyle w:val="Heading2"/>
      </w:pPr>
      <w:r>
        <w:t xml:space="preserve">4.3 Discussion</w:t>
      </w:r>
    </w:p>
    <w:bookmarkEnd w:id="72"/>
    <w:bookmarkStart w:id="73" w:name="references-4"/>
    <w:p>
      <w:pPr>
        <w:pStyle w:val="Heading2"/>
      </w:pPr>
      <w:r>
        <w:t xml:space="preserve">References</w:t>
      </w:r>
    </w:p>
    <w:bookmarkEnd w:id="73"/>
    <w:bookmarkStart w:id="77" w:name="bibliography--4"/>
    <w:p>
      <w:pPr>
        <w:pStyle w:val="Heading2"/>
      </w:pPr>
      <w:r>
        <w:t xml:space="preserve">References</w:t>
      </w:r>
    </w:p>
    <w:bookmarkStart w:id="76" w:name="refs--4"/>
    <w:bookmarkStart w:id="7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74"/>
    <w:bookmarkStart w:id="7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9">
        <w:r>
          <w:rPr>
            <w:rStyle w:val="Hyperlink"/>
          </w:rPr>
          <w:t xml:space="preserve">https://doi.org/10.1093/ije/dys066</w:t>
        </w:r>
      </w:hyperlink>
    </w:p>
    <w:bookmarkEnd w:id="75"/>
    <w:bookmarkEnd w:id="76"/>
    <w:bookmarkEnd w:id="77"/>
    <w:bookmarkEnd w:id="78"/>
    <w:bookmarkStart w:id="88" w:name="sec-chapter5"/>
    <w:p>
      <w:pPr>
        <w:pStyle w:val="Heading1"/>
      </w:pPr>
      <w:r>
        <w:t xml:space="preserve">5. Longitudinal psycho-physical co-development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Longitudinal co-development of depressive symptoms and cardio-metabolic risk factors from childhood to young adulthood</w:t>
      </w:r>
    </w:p>
    <w:p>
      <w:pPr>
        <w:pStyle w:val="BodyText"/>
      </w:pPr>
      <w:r>
        <w:t xml:space="preserve">Defina, S., Cecil, C.A.M., Felix, J.F., Walton, E., &amp; Tiemeier, H. (</w:t>
      </w:r>
      <w:r>
        <w:rPr>
          <w:iCs/>
          <w:i/>
        </w:rPr>
        <w:t xml:space="preserve">under revision</w:t>
      </w:r>
      <w:r>
        <w:t xml:space="preserve">)</w:t>
      </w:r>
    </w:p>
    <w:bookmarkStart w:id="79" w:name="abstact-3"/>
    <w:p>
      <w:pPr>
        <w:pStyle w:val="Heading2"/>
      </w:pPr>
      <w:r>
        <w:t xml:space="preserve">Abstact</w:t>
      </w:r>
    </w:p>
    <w:bookmarkEnd w:id="79"/>
    <w:bookmarkStart w:id="80" w:name="introduction-5"/>
    <w:p>
      <w:pPr>
        <w:pStyle w:val="Heading2"/>
      </w:pPr>
      <w:r>
        <w:t xml:space="preserve">5.1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80"/>
    <w:bookmarkStart w:id="81" w:name="methods-4"/>
    <w:p>
      <w:pPr>
        <w:pStyle w:val="Heading2"/>
      </w:pPr>
      <w:r>
        <w:t xml:space="preserve">5.2 Methods</w:t>
      </w:r>
    </w:p>
    <w:bookmarkEnd w:id="81"/>
    <w:bookmarkStart w:id="82" w:name="discussion-4"/>
    <w:p>
      <w:pPr>
        <w:pStyle w:val="Heading2"/>
      </w:pPr>
      <w:r>
        <w:t xml:space="preserve">5.3 Discussion</w:t>
      </w:r>
    </w:p>
    <w:bookmarkEnd w:id="82"/>
    <w:bookmarkStart w:id="83" w:name="references-5"/>
    <w:p>
      <w:pPr>
        <w:pStyle w:val="Heading2"/>
      </w:pPr>
      <w:r>
        <w:t xml:space="preserve">References</w:t>
      </w:r>
    </w:p>
    <w:bookmarkEnd w:id="83"/>
    <w:bookmarkStart w:id="87" w:name="bibliography--5"/>
    <w:p>
      <w:pPr>
        <w:pStyle w:val="Heading2"/>
      </w:pPr>
      <w:r>
        <w:t xml:space="preserve">References</w:t>
      </w:r>
    </w:p>
    <w:bookmarkStart w:id="86" w:name="refs--5"/>
    <w:bookmarkStart w:id="8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84"/>
    <w:bookmarkStart w:id="8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9">
        <w:r>
          <w:rPr>
            <w:rStyle w:val="Hyperlink"/>
          </w:rPr>
          <w:t xml:space="preserve">https://doi.org/10.1093/ije/dys066</w:t>
        </w:r>
      </w:hyperlink>
    </w:p>
    <w:bookmarkEnd w:id="85"/>
    <w:bookmarkEnd w:id="86"/>
    <w:bookmarkEnd w:id="87"/>
    <w:bookmarkEnd w:id="88"/>
    <w:bookmarkStart w:id="90" w:name="discussion-5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whatever whatever.</w:t>
      </w:r>
    </w:p>
    <w:bookmarkStart w:id="89" w:name="references-6"/>
    <w:p>
      <w:pPr>
        <w:pStyle w:val="Heading2"/>
      </w:pPr>
      <w:r>
        <w:t xml:space="preserve">References</w:t>
      </w:r>
    </w:p>
    <w:bookmarkEnd w:id="89"/>
    <w:bookmarkEnd w:id="90"/>
    <w:bookmarkStart w:id="97" w:name="bibliography"/>
    <w:p>
      <w:pPr>
        <w:pStyle w:val="Heading1"/>
      </w:pPr>
      <w:r>
        <w:t xml:space="preserve">References</w:t>
      </w:r>
    </w:p>
    <w:bookmarkStart w:id="96" w:name="refs"/>
    <w:bookmarkStart w:id="91" w:name="ref-Boyd2012"/>
    <w:p>
      <w:pPr>
        <w:pStyle w:val="Bibliography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91"/>
    <w:bookmarkStart w:id="92" w:name="ref-RN225"/>
    <w:p>
      <w:pPr>
        <w:pStyle w:val="Bibliography"/>
      </w:pPr>
      <w:r>
        <w:t xml:space="preserve">Elsenburg, L. K., Wijk, K. J. E. van, Liefbroer, A. C., &amp; Smidt, N. (2017). Accumulation of adverse childhood events and overweight in children: A systematic review and meta-analysis [Journal Article].</w:t>
      </w:r>
      <w:r>
        <w:t xml:space="preserve"> </w:t>
      </w:r>
      <w:r>
        <w:rPr>
          <w:iCs/>
          <w:i/>
        </w:rPr>
        <w:t xml:space="preserve">Obesity (Silver Spring)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(5), 820–832.</w:t>
      </w:r>
      <w:r>
        <w:t xml:space="preserve"> </w:t>
      </w:r>
      <w:hyperlink r:id="rId41">
        <w:r>
          <w:rPr>
            <w:rStyle w:val="Hyperlink"/>
          </w:rPr>
          <w:t xml:space="preserve">https://doi.org/10.1002/oby.21797</w:t>
        </w:r>
      </w:hyperlink>
    </w:p>
    <w:bookmarkEnd w:id="92"/>
    <w:bookmarkStart w:id="93" w:name="ref-Fraser2013"/>
    <w:p>
      <w:pPr>
        <w:pStyle w:val="Bibliography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9">
        <w:r>
          <w:rPr>
            <w:rStyle w:val="Hyperlink"/>
          </w:rPr>
          <w:t xml:space="preserve">https://doi.org/10.1093/ije/dys066</w:t>
        </w:r>
      </w:hyperlink>
    </w:p>
    <w:bookmarkEnd w:id="93"/>
    <w:bookmarkStart w:id="94" w:name="ref-Rcore2021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</w:p>
    <w:bookmarkEnd w:id="94"/>
    <w:bookmarkStart w:id="95" w:name="ref-RN243"/>
    <w:p>
      <w:pPr>
        <w:pStyle w:val="Bibliography"/>
      </w:pPr>
      <w:r>
        <w:t xml:space="preserve">Wiklund, P., Toss, F., Weinehall, L., Hallmans, G., Franks, P. W., Nordstrom, A., &amp; Nordstrom, P. (2008). Abdominal and gynoid fat mass are associated with cardiovascular risk factors in men and women [Journal Article].</w:t>
      </w:r>
      <w:r>
        <w:t xml:space="preserve"> </w:t>
      </w:r>
      <w:r>
        <w:rPr>
          <w:iCs/>
          <w:i/>
        </w:rPr>
        <w:t xml:space="preserve">The Journal of Clinical Endocrinology &amp; Metabolism</w:t>
      </w:r>
      <w:r>
        <w:t xml:space="preserve">,</w:t>
      </w:r>
      <w:r>
        <w:t xml:space="preserve"> </w:t>
      </w:r>
      <w:r>
        <w:rPr>
          <w:iCs/>
          <w:i/>
        </w:rPr>
        <w:t xml:space="preserve">93</w:t>
      </w:r>
      <w:r>
        <w:t xml:space="preserve">(11), 4360–4366.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41" Target="https://doi.org/10.1002/oby.21797" TargetMode="External" /><Relationship Type="http://schemas.openxmlformats.org/officeDocument/2006/relationships/hyperlink" Id="rId36" Target="https://doi.org/10.1016/j.jaac.2023.05.034" TargetMode="External" /><Relationship Type="http://schemas.openxmlformats.org/officeDocument/2006/relationships/hyperlink" Id="rId47" Target="https://doi.org/10.1016/j.ypmed.2024.107926" TargetMode="External" /><Relationship Type="http://schemas.openxmlformats.org/officeDocument/2006/relationships/hyperlink" Id="rId53" Target="https://doi.org/10.1093/ije/dys064" TargetMode="External" /><Relationship Type="http://schemas.openxmlformats.org/officeDocument/2006/relationships/hyperlink" Id="rId29" Target="https://doi.org/10.1093/ije/dys066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2/oby.21797" TargetMode="External" /><Relationship Type="http://schemas.openxmlformats.org/officeDocument/2006/relationships/hyperlink" Id="rId36" Target="https://doi.org/10.1016/j.jaac.2023.05.034" TargetMode="External" /><Relationship Type="http://schemas.openxmlformats.org/officeDocument/2006/relationships/hyperlink" Id="rId47" Target="https://doi.org/10.1016/j.ypmed.2024.107926" TargetMode="External" /><Relationship Type="http://schemas.openxmlformats.org/officeDocument/2006/relationships/hyperlink" Id="rId53" Target="https://doi.org/10.1093/ije/dys064" TargetMode="External" /><Relationship Type="http://schemas.openxmlformats.org/officeDocument/2006/relationships/hyperlink" Id="rId29" Target="https://doi.org/10.1093/ije/dys066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 the skin</dc:title>
  <dc:creator/>
  <cp:keywords/>
  <dcterms:created xsi:type="dcterms:W3CDTF">2025-04-01T14:54:47Z</dcterms:created>
  <dcterms:modified xsi:type="dcterms:W3CDTF">2025-04-01T14:54:47Z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apa.csl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reference-section-title">
    <vt:lpwstr>References</vt:lpwstr>
  </property>
  <property fmtid="{D5CDD505-2E9C-101B-9397-08002B2CF9AE}" pid="13" name="subtitle">
    <vt:lpwstr>Early-life stress exposure and the co-occurrence of mental and physical health problems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