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854E" w14:textId="2A225225" w:rsidR="001947F4" w:rsidRPr="00664823" w:rsidRDefault="001947F4" w:rsidP="001947F4">
      <w:pPr>
        <w:pStyle w:val="c26"/>
        <w:numPr>
          <w:ilvl w:val="0"/>
          <w:numId w:val="1"/>
        </w:numPr>
        <w:rPr>
          <w:rStyle w:val="c2"/>
          <w:color w:val="000000"/>
        </w:rPr>
      </w:pPr>
      <w:r w:rsidRPr="00664823">
        <w:rPr>
          <w:rStyle w:val="c2"/>
          <w:color w:val="000000"/>
        </w:rPr>
        <w:t>If you are building a processor and have to do static branch prediction (meaning you have to assume at compile time whether a branch is taken or not), how should you do it? You can make a different decision for branches that go forward or backward.</w:t>
      </w:r>
    </w:p>
    <w:p w14:paraId="01B62A7D" w14:textId="62822F2B" w:rsidR="00B4680A" w:rsidRPr="00664823" w:rsidRDefault="00326A18" w:rsidP="00650786">
      <w:pPr>
        <w:pStyle w:val="c26"/>
        <w:ind w:left="720" w:firstLine="720"/>
        <w:rPr>
          <w:color w:val="000000"/>
        </w:rPr>
      </w:pPr>
      <w:r w:rsidRPr="00664823">
        <w:rPr>
          <w:rStyle w:val="c2"/>
          <w:color w:val="000000"/>
        </w:rPr>
        <w:t xml:space="preserve">In order to do branch prediction, we should implement a </w:t>
      </w:r>
      <w:r w:rsidR="00973F11" w:rsidRPr="00664823">
        <w:rPr>
          <w:rStyle w:val="c2"/>
          <w:color w:val="000000"/>
        </w:rPr>
        <w:t>2-bit</w:t>
      </w:r>
      <w:r w:rsidRPr="00664823">
        <w:rPr>
          <w:rStyle w:val="c2"/>
          <w:color w:val="000000"/>
        </w:rPr>
        <w:t xml:space="preserve"> branch predictor which has four </w:t>
      </w:r>
      <w:r w:rsidR="00650786" w:rsidRPr="00664823">
        <w:rPr>
          <w:rStyle w:val="c2"/>
          <w:color w:val="000000"/>
        </w:rPr>
        <w:t>states (</w:t>
      </w:r>
      <w:r w:rsidRPr="00664823">
        <w:rPr>
          <w:rStyle w:val="c2"/>
          <w:color w:val="000000"/>
        </w:rPr>
        <w:t xml:space="preserve">states are Strongly Taken, Taken, Not Taken, Strongly Not Taken). </w:t>
      </w:r>
      <w:r w:rsidR="00DD412B">
        <w:rPr>
          <w:rStyle w:val="c2"/>
          <w:color w:val="000000"/>
        </w:rPr>
        <w:t xml:space="preserve">According to our data, </w:t>
      </w:r>
      <w:r w:rsidR="00643371">
        <w:rPr>
          <w:rStyle w:val="c2"/>
          <w:color w:val="000000"/>
        </w:rPr>
        <w:t xml:space="preserve">the prediction we should take for our backward branches are </w:t>
      </w:r>
      <w:r w:rsidR="00E754BA">
        <w:rPr>
          <w:rStyle w:val="c2"/>
          <w:color w:val="000000"/>
        </w:rPr>
        <w:t>t</w:t>
      </w:r>
      <w:r w:rsidR="00643371">
        <w:rPr>
          <w:rStyle w:val="c2"/>
          <w:color w:val="000000"/>
        </w:rPr>
        <w:t>aken since</w:t>
      </w:r>
      <w:r w:rsidR="00393FB6">
        <w:rPr>
          <w:rStyle w:val="c2"/>
          <w:color w:val="000000"/>
        </w:rPr>
        <w:t xml:space="preserve"> </w:t>
      </w:r>
      <w:r w:rsidR="00540CCF">
        <w:rPr>
          <w:rStyle w:val="c2"/>
          <w:color w:val="000000"/>
        </w:rPr>
        <w:t>statistically, the</w:t>
      </w:r>
      <w:r w:rsidR="00643371">
        <w:rPr>
          <w:rStyle w:val="c2"/>
          <w:color w:val="000000"/>
        </w:rPr>
        <w:t xml:space="preserve"> majority of </w:t>
      </w:r>
      <w:r w:rsidR="008E5EAD">
        <w:rPr>
          <w:rStyle w:val="c2"/>
          <w:color w:val="000000"/>
        </w:rPr>
        <w:t xml:space="preserve">the branches </w:t>
      </w:r>
      <w:r w:rsidR="00ED4EF3">
        <w:rPr>
          <w:rStyle w:val="c2"/>
          <w:color w:val="000000"/>
        </w:rPr>
        <w:t xml:space="preserve">the three </w:t>
      </w:r>
      <w:r w:rsidR="00540CCF">
        <w:rPr>
          <w:rStyle w:val="c2"/>
          <w:color w:val="000000"/>
        </w:rPr>
        <w:t>programs have</w:t>
      </w:r>
      <w:r w:rsidR="00E754BA">
        <w:rPr>
          <w:rStyle w:val="c2"/>
          <w:color w:val="000000"/>
        </w:rPr>
        <w:t xml:space="preserve"> used </w:t>
      </w:r>
      <w:r w:rsidR="008E5EAD">
        <w:rPr>
          <w:rStyle w:val="c2"/>
          <w:color w:val="000000"/>
        </w:rPr>
        <w:t xml:space="preserve">taken in the backward branch. </w:t>
      </w:r>
      <w:r w:rsidR="007247C8">
        <w:rPr>
          <w:rStyle w:val="c2"/>
          <w:color w:val="000000"/>
        </w:rPr>
        <w:t xml:space="preserve">The starting state for our Forward Branch should be not taken </w:t>
      </w:r>
      <w:r w:rsidR="00393FB6">
        <w:rPr>
          <w:rStyle w:val="c2"/>
          <w:color w:val="000000"/>
        </w:rPr>
        <w:t xml:space="preserve">because </w:t>
      </w:r>
      <w:r w:rsidR="00540CCF">
        <w:rPr>
          <w:rStyle w:val="c2"/>
          <w:color w:val="000000"/>
        </w:rPr>
        <w:t>according to</w:t>
      </w:r>
      <w:r w:rsidR="00F96C43">
        <w:rPr>
          <w:rStyle w:val="c2"/>
          <w:color w:val="000000"/>
        </w:rPr>
        <w:t xml:space="preserve"> our stats</w:t>
      </w:r>
      <w:r w:rsidR="005D7C7B">
        <w:rPr>
          <w:rStyle w:val="c2"/>
          <w:color w:val="000000"/>
        </w:rPr>
        <w:t xml:space="preserve">, it was more likely that the </w:t>
      </w:r>
      <w:r w:rsidR="007247C8">
        <w:rPr>
          <w:rStyle w:val="c2"/>
          <w:color w:val="000000"/>
        </w:rPr>
        <w:t xml:space="preserve">forward branches in </w:t>
      </w:r>
      <w:r w:rsidR="005D7C7B">
        <w:rPr>
          <w:rStyle w:val="c2"/>
          <w:color w:val="000000"/>
        </w:rPr>
        <w:t>the three programs</w:t>
      </w:r>
      <w:r w:rsidR="003610D0">
        <w:rPr>
          <w:rStyle w:val="c2"/>
          <w:color w:val="000000"/>
        </w:rPr>
        <w:t xml:space="preserve"> </w:t>
      </w:r>
      <w:r w:rsidR="005D7C7B">
        <w:rPr>
          <w:rStyle w:val="c2"/>
          <w:color w:val="000000"/>
        </w:rPr>
        <w:t>were</w:t>
      </w:r>
      <w:r w:rsidR="003610D0">
        <w:rPr>
          <w:rStyle w:val="c2"/>
          <w:color w:val="000000"/>
        </w:rPr>
        <w:t xml:space="preserve"> not taken.</w:t>
      </w:r>
      <w:r w:rsidR="005D7C7B">
        <w:rPr>
          <w:rStyle w:val="c2"/>
          <w:color w:val="000000"/>
        </w:rPr>
        <w:t xml:space="preserve"> </w:t>
      </w:r>
      <w:r w:rsidR="00540CCF">
        <w:rPr>
          <w:rStyle w:val="c2"/>
          <w:color w:val="000000"/>
        </w:rPr>
        <w:t xml:space="preserve">As a </w:t>
      </w:r>
      <w:r w:rsidR="00650786">
        <w:rPr>
          <w:rStyle w:val="c2"/>
          <w:color w:val="000000"/>
        </w:rPr>
        <w:t>result, there</w:t>
      </w:r>
      <w:r w:rsidR="005D7C7B">
        <w:rPr>
          <w:rStyle w:val="c2"/>
          <w:color w:val="000000"/>
        </w:rPr>
        <w:t xml:space="preserve"> is less likely </w:t>
      </w:r>
      <w:r w:rsidR="00ED4EF3">
        <w:rPr>
          <w:rStyle w:val="c2"/>
          <w:color w:val="000000"/>
        </w:rPr>
        <w:t xml:space="preserve">going to be a misprediction and </w:t>
      </w:r>
      <w:r w:rsidR="00540CCF">
        <w:rPr>
          <w:rStyle w:val="c2"/>
          <w:color w:val="000000"/>
        </w:rPr>
        <w:t xml:space="preserve">therefore </w:t>
      </w:r>
      <w:r w:rsidR="00ED4EF3">
        <w:rPr>
          <w:rStyle w:val="c2"/>
          <w:color w:val="000000"/>
        </w:rPr>
        <w:t>cost less cycles</w:t>
      </w:r>
      <w:r w:rsidR="00442AB9">
        <w:rPr>
          <w:rStyle w:val="c2"/>
          <w:color w:val="000000"/>
        </w:rPr>
        <w:t xml:space="preserve"> when using these starting points</w:t>
      </w:r>
      <w:r w:rsidR="00ED4EF3">
        <w:rPr>
          <w:rStyle w:val="c2"/>
          <w:color w:val="000000"/>
        </w:rPr>
        <w:t>.</w:t>
      </w:r>
      <w:r w:rsidR="0045155D">
        <w:rPr>
          <w:rStyle w:val="c2"/>
          <w:color w:val="000000"/>
        </w:rPr>
        <w:t xml:space="preserve"> </w:t>
      </w:r>
    </w:p>
    <w:p w14:paraId="3F6BFB78" w14:textId="1D753A8A" w:rsidR="001947F4" w:rsidRPr="00664823" w:rsidRDefault="001947F4" w:rsidP="001947F4">
      <w:pPr>
        <w:pStyle w:val="c26"/>
        <w:numPr>
          <w:ilvl w:val="0"/>
          <w:numId w:val="1"/>
        </w:numPr>
        <w:rPr>
          <w:rStyle w:val="c2"/>
          <w:color w:val="000000"/>
        </w:rPr>
      </w:pPr>
      <w:r w:rsidRPr="00664823">
        <w:rPr>
          <w:rStyle w:val="c2"/>
          <w:color w:val="000000"/>
        </w:rPr>
        <w:t>If you are building a 256-byte direct-mapped cache, what should you choose as your block (line) size?</w:t>
      </w:r>
    </w:p>
    <w:p w14:paraId="53398661" w14:textId="32AB8538" w:rsidR="00664823" w:rsidRDefault="00664823" w:rsidP="00664823">
      <w:pPr>
        <w:pStyle w:val="c26"/>
        <w:ind w:left="720"/>
        <w:rPr>
          <w:rStyle w:val="c2"/>
          <w:color w:val="000000"/>
        </w:rPr>
      </w:pPr>
    </w:p>
    <w:tbl>
      <w:tblPr>
        <w:tblStyle w:val="PlainTable1"/>
        <w:tblW w:w="9938" w:type="dxa"/>
        <w:tblLook w:val="04A0" w:firstRow="1" w:lastRow="0" w:firstColumn="1" w:lastColumn="0" w:noHBand="0" w:noVBand="1"/>
      </w:tblPr>
      <w:tblGrid>
        <w:gridCol w:w="2160"/>
        <w:gridCol w:w="1646"/>
        <w:gridCol w:w="1823"/>
        <w:gridCol w:w="2030"/>
        <w:gridCol w:w="2279"/>
      </w:tblGrid>
      <w:tr w:rsidR="00633D06" w14:paraId="2BB1FDAE" w14:textId="77777777" w:rsidTr="0097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DB91E1" w14:textId="69D264CC" w:rsidR="00633D06" w:rsidRPr="003B7AE4" w:rsidRDefault="00633D06" w:rsidP="00595A90">
            <w:pPr>
              <w:pStyle w:val="c26"/>
              <w:jc w:val="center"/>
              <w:rPr>
                <w:rStyle w:val="c2"/>
                <w:color w:val="000000"/>
                <w:sz w:val="22"/>
                <w:szCs w:val="22"/>
              </w:rPr>
            </w:pPr>
            <w:r w:rsidRPr="003B7AE4">
              <w:rPr>
                <w:rStyle w:val="c2"/>
                <w:color w:val="000000"/>
                <w:sz w:val="22"/>
                <w:szCs w:val="22"/>
              </w:rPr>
              <w:t>Block Size (bytes)</w:t>
            </w:r>
          </w:p>
        </w:tc>
        <w:tc>
          <w:tcPr>
            <w:tcW w:w="1646" w:type="dxa"/>
          </w:tcPr>
          <w:p w14:paraId="2B8811A8" w14:textId="1BB96B2A" w:rsidR="00633D06" w:rsidRPr="003B7AE4" w:rsidRDefault="00633D06" w:rsidP="00595A90">
            <w:pPr>
              <w:pStyle w:val="c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  <w:sz w:val="22"/>
                <w:szCs w:val="22"/>
              </w:rPr>
            </w:pPr>
            <w:r w:rsidRPr="003B7AE4">
              <w:rPr>
                <w:rStyle w:val="c2"/>
                <w:color w:val="000000"/>
                <w:sz w:val="22"/>
                <w:szCs w:val="22"/>
              </w:rPr>
              <w:t>Fib</w:t>
            </w:r>
            <w:r w:rsidR="003B7AE4">
              <w:rPr>
                <w:rStyle w:val="c2"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1823" w:type="dxa"/>
          </w:tcPr>
          <w:p w14:paraId="780C55C9" w14:textId="06D7D0E5" w:rsidR="00633D06" w:rsidRPr="003B7AE4" w:rsidRDefault="00633D06" w:rsidP="00595A90">
            <w:pPr>
              <w:pStyle w:val="c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  <w:sz w:val="22"/>
                <w:szCs w:val="22"/>
              </w:rPr>
            </w:pPr>
            <w:r w:rsidRPr="003B7AE4">
              <w:rPr>
                <w:rStyle w:val="c2"/>
                <w:color w:val="000000"/>
                <w:sz w:val="22"/>
                <w:szCs w:val="22"/>
              </w:rPr>
              <w:t>ChkSum</w:t>
            </w:r>
            <w:r w:rsidR="003B7AE4">
              <w:rPr>
                <w:rStyle w:val="c2"/>
                <w:color w:val="000000"/>
                <w:sz w:val="22"/>
                <w:szCs w:val="22"/>
              </w:rPr>
              <w:t>(%)</w:t>
            </w:r>
          </w:p>
        </w:tc>
        <w:tc>
          <w:tcPr>
            <w:tcW w:w="2030" w:type="dxa"/>
          </w:tcPr>
          <w:p w14:paraId="26EB9E0D" w14:textId="054D33A0" w:rsidR="00633D06" w:rsidRPr="003B7AE4" w:rsidRDefault="00633D06" w:rsidP="00595A90">
            <w:pPr>
              <w:pStyle w:val="c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  <w:sz w:val="22"/>
                <w:szCs w:val="22"/>
              </w:rPr>
            </w:pPr>
            <w:r w:rsidRPr="003B7AE4">
              <w:rPr>
                <w:rStyle w:val="c2"/>
                <w:color w:val="000000"/>
                <w:sz w:val="22"/>
                <w:szCs w:val="22"/>
              </w:rPr>
              <w:t>Matmul</w:t>
            </w:r>
            <w:r w:rsidR="003B7AE4">
              <w:rPr>
                <w:rStyle w:val="c2"/>
                <w:color w:val="000000"/>
                <w:sz w:val="22"/>
                <w:szCs w:val="22"/>
              </w:rPr>
              <w:t>(%)</w:t>
            </w:r>
          </w:p>
        </w:tc>
        <w:tc>
          <w:tcPr>
            <w:tcW w:w="2279" w:type="dxa"/>
          </w:tcPr>
          <w:p w14:paraId="07784314" w14:textId="3237EF7F" w:rsidR="00633D06" w:rsidRPr="003B7AE4" w:rsidRDefault="00633D06" w:rsidP="00595A90">
            <w:pPr>
              <w:pStyle w:val="c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  <w:sz w:val="22"/>
                <w:szCs w:val="22"/>
              </w:rPr>
            </w:pPr>
            <w:r w:rsidRPr="003B7AE4">
              <w:rPr>
                <w:rStyle w:val="c2"/>
                <w:color w:val="000000"/>
                <w:sz w:val="22"/>
                <w:szCs w:val="22"/>
              </w:rPr>
              <w:t>Average Hit Rate (%)</w:t>
            </w:r>
          </w:p>
        </w:tc>
      </w:tr>
      <w:tr w:rsidR="00614224" w14:paraId="24DF6BAB" w14:textId="77777777" w:rsidTr="0097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5DC484" w14:textId="6532BD8A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4</w:t>
            </w:r>
          </w:p>
        </w:tc>
        <w:tc>
          <w:tcPr>
            <w:tcW w:w="1646" w:type="dxa"/>
          </w:tcPr>
          <w:p w14:paraId="30A4A935" w14:textId="63054FA2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94.544</w:t>
            </w:r>
          </w:p>
        </w:tc>
        <w:tc>
          <w:tcPr>
            <w:tcW w:w="1823" w:type="dxa"/>
          </w:tcPr>
          <w:p w14:paraId="617BE08C" w14:textId="14B4DF62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95.8172</w:t>
            </w:r>
          </w:p>
        </w:tc>
        <w:tc>
          <w:tcPr>
            <w:tcW w:w="2030" w:type="dxa"/>
          </w:tcPr>
          <w:p w14:paraId="5C9235E3" w14:textId="054D69C2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90.5940</w:t>
            </w:r>
          </w:p>
        </w:tc>
        <w:tc>
          <w:tcPr>
            <w:tcW w:w="2279" w:type="dxa"/>
            <w:vAlign w:val="center"/>
          </w:tcPr>
          <w:p w14:paraId="3648E0A8" w14:textId="3B26EA11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93.6517</w:t>
            </w:r>
          </w:p>
        </w:tc>
      </w:tr>
      <w:tr w:rsidR="00614224" w14:paraId="27C982EF" w14:textId="77777777" w:rsidTr="00973F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324269" w14:textId="669E3C0F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</w:t>
            </w:r>
          </w:p>
        </w:tc>
        <w:tc>
          <w:tcPr>
            <w:tcW w:w="1646" w:type="dxa"/>
          </w:tcPr>
          <w:p w14:paraId="51626E72" w14:textId="7FB80719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97.2727</w:t>
            </w:r>
          </w:p>
        </w:tc>
        <w:tc>
          <w:tcPr>
            <w:tcW w:w="1823" w:type="dxa"/>
          </w:tcPr>
          <w:p w14:paraId="482F378A" w14:textId="539B5C0E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96.9815</w:t>
            </w:r>
          </w:p>
        </w:tc>
        <w:tc>
          <w:tcPr>
            <w:tcW w:w="2030" w:type="dxa"/>
          </w:tcPr>
          <w:p w14:paraId="4F63C581" w14:textId="7D32149B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90.7341</w:t>
            </w:r>
          </w:p>
        </w:tc>
        <w:tc>
          <w:tcPr>
            <w:tcW w:w="2279" w:type="dxa"/>
            <w:vAlign w:val="center"/>
          </w:tcPr>
          <w:p w14:paraId="652A6DF7" w14:textId="5EEE65B1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94.9961</w:t>
            </w:r>
          </w:p>
        </w:tc>
      </w:tr>
      <w:tr w:rsidR="00614224" w14:paraId="34444E0F" w14:textId="77777777" w:rsidTr="0097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B0DB5E" w14:textId="59AD0D32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16</w:t>
            </w:r>
          </w:p>
        </w:tc>
        <w:tc>
          <w:tcPr>
            <w:tcW w:w="1646" w:type="dxa"/>
          </w:tcPr>
          <w:p w14:paraId="2FB08BAD" w14:textId="335C37D8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98.1818</w:t>
            </w:r>
          </w:p>
        </w:tc>
        <w:tc>
          <w:tcPr>
            <w:tcW w:w="1823" w:type="dxa"/>
          </w:tcPr>
          <w:p w14:paraId="0548618A" w14:textId="452B1DDA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96.4209</w:t>
            </w:r>
          </w:p>
        </w:tc>
        <w:tc>
          <w:tcPr>
            <w:tcW w:w="2030" w:type="dxa"/>
          </w:tcPr>
          <w:p w14:paraId="6577AF3D" w14:textId="2E095FC3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89.6078</w:t>
            </w:r>
          </w:p>
        </w:tc>
        <w:tc>
          <w:tcPr>
            <w:tcW w:w="2279" w:type="dxa"/>
            <w:vAlign w:val="center"/>
          </w:tcPr>
          <w:p w14:paraId="33DCAF78" w14:textId="7AC02298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94.7368</w:t>
            </w:r>
          </w:p>
        </w:tc>
      </w:tr>
      <w:tr w:rsidR="00614224" w14:paraId="0BA8B666" w14:textId="77777777" w:rsidTr="00973F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736985" w14:textId="55CAFB98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32</w:t>
            </w:r>
          </w:p>
        </w:tc>
        <w:tc>
          <w:tcPr>
            <w:tcW w:w="1646" w:type="dxa"/>
          </w:tcPr>
          <w:p w14:paraId="70BDA6A2" w14:textId="0F4CF935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99.0909</w:t>
            </w:r>
          </w:p>
        </w:tc>
        <w:tc>
          <w:tcPr>
            <w:tcW w:w="1823" w:type="dxa"/>
          </w:tcPr>
          <w:p w14:paraId="06BE78B5" w14:textId="53CE3C87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94.0923</w:t>
            </w:r>
          </w:p>
        </w:tc>
        <w:tc>
          <w:tcPr>
            <w:tcW w:w="2030" w:type="dxa"/>
          </w:tcPr>
          <w:p w14:paraId="21980D6F" w14:textId="5329BBE3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88.2433</w:t>
            </w:r>
          </w:p>
        </w:tc>
        <w:tc>
          <w:tcPr>
            <w:tcW w:w="2279" w:type="dxa"/>
            <w:vAlign w:val="center"/>
          </w:tcPr>
          <w:p w14:paraId="55A3E583" w14:textId="37FC259E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93.8088</w:t>
            </w:r>
          </w:p>
        </w:tc>
      </w:tr>
      <w:tr w:rsidR="00614224" w14:paraId="547E34B7" w14:textId="77777777" w:rsidTr="0097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6A186E" w14:textId="3E6C376C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64</w:t>
            </w:r>
          </w:p>
        </w:tc>
        <w:tc>
          <w:tcPr>
            <w:tcW w:w="1646" w:type="dxa"/>
          </w:tcPr>
          <w:p w14:paraId="646D4132" w14:textId="572639B9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99.0909</w:t>
            </w:r>
          </w:p>
        </w:tc>
        <w:tc>
          <w:tcPr>
            <w:tcW w:w="1823" w:type="dxa"/>
          </w:tcPr>
          <w:p w14:paraId="2562D6AB" w14:textId="5505C75D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94.2648</w:t>
            </w:r>
          </w:p>
        </w:tc>
        <w:tc>
          <w:tcPr>
            <w:tcW w:w="2030" w:type="dxa"/>
          </w:tcPr>
          <w:p w14:paraId="756BB755" w14:textId="4519F5FA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83.5851</w:t>
            </w:r>
          </w:p>
        </w:tc>
        <w:tc>
          <w:tcPr>
            <w:tcW w:w="2279" w:type="dxa"/>
            <w:vAlign w:val="center"/>
          </w:tcPr>
          <w:p w14:paraId="1B3828B4" w14:textId="5F3BF6BD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92.3136</w:t>
            </w:r>
          </w:p>
        </w:tc>
      </w:tr>
      <w:tr w:rsidR="00614224" w14:paraId="0A531389" w14:textId="77777777" w:rsidTr="00973F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B93A95" w14:textId="37F54C9F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128</w:t>
            </w:r>
          </w:p>
        </w:tc>
        <w:tc>
          <w:tcPr>
            <w:tcW w:w="1646" w:type="dxa"/>
          </w:tcPr>
          <w:p w14:paraId="7B1294EF" w14:textId="7EAB4D8E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99.0909</w:t>
            </w:r>
          </w:p>
        </w:tc>
        <w:tc>
          <w:tcPr>
            <w:tcW w:w="1823" w:type="dxa"/>
          </w:tcPr>
          <w:p w14:paraId="1B8EEE3F" w14:textId="2EE3738D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88.8314</w:t>
            </w:r>
          </w:p>
        </w:tc>
        <w:tc>
          <w:tcPr>
            <w:tcW w:w="2030" w:type="dxa"/>
          </w:tcPr>
          <w:p w14:paraId="4E217D6C" w14:textId="44DE3755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83.6688</w:t>
            </w:r>
          </w:p>
        </w:tc>
        <w:tc>
          <w:tcPr>
            <w:tcW w:w="2279" w:type="dxa"/>
            <w:vAlign w:val="center"/>
          </w:tcPr>
          <w:p w14:paraId="45092166" w14:textId="1A75906C" w:rsidR="00614224" w:rsidRDefault="00614224" w:rsidP="00614224">
            <w:pPr>
              <w:pStyle w:val="c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90.5304</w:t>
            </w:r>
          </w:p>
        </w:tc>
      </w:tr>
      <w:tr w:rsidR="00614224" w14:paraId="6047119D" w14:textId="77777777" w:rsidTr="0097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211B34" w14:textId="7A1788DE" w:rsidR="00614224" w:rsidRDefault="00614224" w:rsidP="00614224">
            <w:pPr>
              <w:pStyle w:val="c26"/>
              <w:jc w:val="center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256</w:t>
            </w:r>
          </w:p>
        </w:tc>
        <w:tc>
          <w:tcPr>
            <w:tcW w:w="1646" w:type="dxa"/>
          </w:tcPr>
          <w:p w14:paraId="0F65133E" w14:textId="519677C6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99.0909</w:t>
            </w:r>
          </w:p>
        </w:tc>
        <w:tc>
          <w:tcPr>
            <w:tcW w:w="1823" w:type="dxa"/>
          </w:tcPr>
          <w:p w14:paraId="7CBBFAF4" w14:textId="1CC07C1F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77.8784</w:t>
            </w:r>
          </w:p>
        </w:tc>
        <w:tc>
          <w:tcPr>
            <w:tcW w:w="2030" w:type="dxa"/>
          </w:tcPr>
          <w:p w14:paraId="443E3D3C" w14:textId="16A110A8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rStyle w:val="c2"/>
                <w:color w:val="000000"/>
              </w:rPr>
              <w:t>75.6014</w:t>
            </w:r>
          </w:p>
        </w:tc>
        <w:tc>
          <w:tcPr>
            <w:tcW w:w="2279" w:type="dxa"/>
            <w:vAlign w:val="center"/>
          </w:tcPr>
          <w:p w14:paraId="011D68B8" w14:textId="2B3237F5" w:rsidR="00614224" w:rsidRDefault="00614224" w:rsidP="00614224">
            <w:pPr>
              <w:pStyle w:val="c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2"/>
                <w:color w:val="000000"/>
              </w:rPr>
            </w:pPr>
            <w:r>
              <w:rPr>
                <w:color w:val="000000"/>
              </w:rPr>
              <w:t>84.1902</w:t>
            </w:r>
          </w:p>
        </w:tc>
      </w:tr>
    </w:tbl>
    <w:p w14:paraId="1E92133B" w14:textId="77777777" w:rsidR="00BA42E3" w:rsidRDefault="00BA42E3" w:rsidP="0025216C">
      <w:pPr>
        <w:pStyle w:val="c26"/>
        <w:rPr>
          <w:rStyle w:val="c2"/>
          <w:color w:val="000000"/>
        </w:rPr>
      </w:pPr>
    </w:p>
    <w:p w14:paraId="25273EDE" w14:textId="2E0DCB12" w:rsidR="00D51285" w:rsidRDefault="00C11B98" w:rsidP="00664823">
      <w:pPr>
        <w:pStyle w:val="c26"/>
        <w:ind w:left="720"/>
        <w:rPr>
          <w:rStyle w:val="c2"/>
          <w:color w:val="000000"/>
        </w:rPr>
      </w:pPr>
      <w:r>
        <w:rPr>
          <w:rStyle w:val="c2"/>
          <w:color w:val="000000"/>
        </w:rPr>
        <w:t>From our calculations</w:t>
      </w:r>
      <w:r w:rsidR="004633A0">
        <w:rPr>
          <w:rStyle w:val="c2"/>
          <w:color w:val="000000"/>
        </w:rPr>
        <w:t xml:space="preserve">, the block size that would give the highest average </w:t>
      </w:r>
      <w:r w:rsidR="00462ACB">
        <w:rPr>
          <w:rStyle w:val="c2"/>
          <w:color w:val="000000"/>
        </w:rPr>
        <w:t xml:space="preserve">from the three programs </w:t>
      </w:r>
      <w:r w:rsidR="004633A0">
        <w:rPr>
          <w:rStyle w:val="c2"/>
          <w:color w:val="000000"/>
        </w:rPr>
        <w:t>hit rate</w:t>
      </w:r>
      <w:r w:rsidR="004B1674">
        <w:rPr>
          <w:rStyle w:val="c2"/>
          <w:color w:val="000000"/>
        </w:rPr>
        <w:t xml:space="preserve"> would be the block size of </w:t>
      </w:r>
      <w:r w:rsidR="00B37B15">
        <w:rPr>
          <w:rStyle w:val="c2"/>
          <w:color w:val="000000"/>
        </w:rPr>
        <w:t xml:space="preserve">8 bytes. </w:t>
      </w:r>
    </w:p>
    <w:p w14:paraId="515F4052" w14:textId="77777777" w:rsidR="00664823" w:rsidRPr="00664823" w:rsidRDefault="00664823" w:rsidP="0025216C">
      <w:pPr>
        <w:pStyle w:val="c26"/>
        <w:rPr>
          <w:rStyle w:val="c2"/>
          <w:color w:val="000000"/>
        </w:rPr>
      </w:pPr>
    </w:p>
    <w:p w14:paraId="2C9B0748" w14:textId="0681CC57" w:rsidR="001947F4" w:rsidRDefault="001947F4" w:rsidP="00664823">
      <w:pPr>
        <w:pStyle w:val="c26"/>
        <w:numPr>
          <w:ilvl w:val="0"/>
          <w:numId w:val="1"/>
        </w:numPr>
        <w:rPr>
          <w:rStyle w:val="c2"/>
          <w:color w:val="000000"/>
        </w:rPr>
      </w:pPr>
      <w:r w:rsidRPr="00664823">
        <w:rPr>
          <w:rStyle w:val="c2"/>
          <w:color w:val="000000"/>
        </w:rPr>
        <w:t>What conclusions can you draw about the differences between compiling with no optimization and -O2 optimization?</w:t>
      </w:r>
    </w:p>
    <w:p w14:paraId="57A2E998" w14:textId="79B011B4" w:rsidR="00A14387" w:rsidRPr="00664823" w:rsidRDefault="00083D16" w:rsidP="00083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sectPr w:rsidR="00A14387" w:rsidRPr="006648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A4173" w14:textId="77777777" w:rsidR="001947F4" w:rsidRDefault="001947F4" w:rsidP="001947F4">
      <w:pPr>
        <w:spacing w:after="0" w:line="240" w:lineRule="auto"/>
      </w:pPr>
      <w:r>
        <w:separator/>
      </w:r>
    </w:p>
  </w:endnote>
  <w:endnote w:type="continuationSeparator" w:id="0">
    <w:p w14:paraId="13E7A34B" w14:textId="77777777" w:rsidR="001947F4" w:rsidRDefault="001947F4" w:rsidP="0019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80752" w14:textId="77777777" w:rsidR="001947F4" w:rsidRDefault="001947F4" w:rsidP="001947F4">
      <w:pPr>
        <w:spacing w:after="0" w:line="240" w:lineRule="auto"/>
      </w:pPr>
      <w:r>
        <w:separator/>
      </w:r>
    </w:p>
  </w:footnote>
  <w:footnote w:type="continuationSeparator" w:id="0">
    <w:p w14:paraId="5849D056" w14:textId="77777777" w:rsidR="001947F4" w:rsidRDefault="001947F4" w:rsidP="0019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56AC" w14:textId="7F6C13BC" w:rsidR="00664823" w:rsidRPr="00664823" w:rsidRDefault="00664823" w:rsidP="006648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64823">
      <w:rPr>
        <w:rFonts w:ascii="Times New Roman" w:hAnsi="Times New Roman" w:cs="Times New Roman"/>
        <w:sz w:val="24"/>
        <w:szCs w:val="24"/>
      </w:rPr>
      <w:t xml:space="preserve">Benchohra, Sereen </w:t>
    </w:r>
  </w:p>
  <w:p w14:paraId="703E0110" w14:textId="33FD1A43" w:rsidR="00664823" w:rsidRPr="00664823" w:rsidRDefault="00664823" w:rsidP="006648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64823">
      <w:rPr>
        <w:rFonts w:ascii="Times New Roman" w:hAnsi="Times New Roman" w:cs="Times New Roman"/>
        <w:sz w:val="24"/>
        <w:szCs w:val="24"/>
      </w:rPr>
      <w:t>Kaanan Kharwa</w:t>
    </w:r>
  </w:p>
  <w:p w14:paraId="0FE55535" w14:textId="39431BFC" w:rsidR="00664823" w:rsidRPr="00664823" w:rsidRDefault="00664823" w:rsidP="006648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64823">
      <w:rPr>
        <w:rFonts w:ascii="Times New Roman" w:hAnsi="Times New Roman" w:cs="Times New Roman"/>
        <w:sz w:val="24"/>
        <w:szCs w:val="24"/>
      </w:rPr>
      <w:t>CPE 315</w:t>
    </w:r>
  </w:p>
  <w:p w14:paraId="69FE96BA" w14:textId="0500054A" w:rsidR="00664823" w:rsidRPr="00664823" w:rsidRDefault="00664823" w:rsidP="006648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64823">
      <w:rPr>
        <w:rFonts w:ascii="Times New Roman" w:hAnsi="Times New Roman" w:cs="Times New Roman"/>
        <w:sz w:val="24"/>
        <w:szCs w:val="24"/>
      </w:rPr>
      <w:t>8/26/2020</w:t>
    </w:r>
  </w:p>
  <w:p w14:paraId="5E9556F4" w14:textId="4FE39CAE" w:rsidR="00664823" w:rsidRPr="00664823" w:rsidRDefault="00664823" w:rsidP="0066482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64823">
      <w:rPr>
        <w:rFonts w:ascii="Times New Roman" w:hAnsi="Times New Roman" w:cs="Times New Roman"/>
        <w:sz w:val="24"/>
        <w:szCs w:val="24"/>
      </w:rPr>
      <w:t>Thumbsim Project</w:t>
    </w:r>
  </w:p>
  <w:p w14:paraId="2F1235F0" w14:textId="77777777" w:rsidR="001947F4" w:rsidRDefault="0019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6127A"/>
    <w:multiLevelType w:val="multilevel"/>
    <w:tmpl w:val="185E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4"/>
    <w:rsid w:val="00060AE6"/>
    <w:rsid w:val="00083D16"/>
    <w:rsid w:val="000A0A2F"/>
    <w:rsid w:val="00132C6D"/>
    <w:rsid w:val="00167583"/>
    <w:rsid w:val="001947F4"/>
    <w:rsid w:val="001A4458"/>
    <w:rsid w:val="001C2E09"/>
    <w:rsid w:val="0025216C"/>
    <w:rsid w:val="00276908"/>
    <w:rsid w:val="002822C2"/>
    <w:rsid w:val="00326A18"/>
    <w:rsid w:val="003610D0"/>
    <w:rsid w:val="00393FB6"/>
    <w:rsid w:val="003B7AE4"/>
    <w:rsid w:val="00442AB9"/>
    <w:rsid w:val="0045155D"/>
    <w:rsid w:val="00462ACB"/>
    <w:rsid w:val="004633A0"/>
    <w:rsid w:val="004B1674"/>
    <w:rsid w:val="005032A8"/>
    <w:rsid w:val="005167FA"/>
    <w:rsid w:val="00531DDD"/>
    <w:rsid w:val="00540CCF"/>
    <w:rsid w:val="00595A90"/>
    <w:rsid w:val="005D7C7B"/>
    <w:rsid w:val="00614224"/>
    <w:rsid w:val="00633D06"/>
    <w:rsid w:val="00643371"/>
    <w:rsid w:val="00643ABF"/>
    <w:rsid w:val="00650786"/>
    <w:rsid w:val="00664823"/>
    <w:rsid w:val="006A5040"/>
    <w:rsid w:val="006C6979"/>
    <w:rsid w:val="007247C8"/>
    <w:rsid w:val="00751CC0"/>
    <w:rsid w:val="00764F57"/>
    <w:rsid w:val="00765E6E"/>
    <w:rsid w:val="00820875"/>
    <w:rsid w:val="008223C9"/>
    <w:rsid w:val="00881666"/>
    <w:rsid w:val="008C353F"/>
    <w:rsid w:val="008E5EAD"/>
    <w:rsid w:val="00973F11"/>
    <w:rsid w:val="00976668"/>
    <w:rsid w:val="00990702"/>
    <w:rsid w:val="0099563D"/>
    <w:rsid w:val="00A5562D"/>
    <w:rsid w:val="00A755F5"/>
    <w:rsid w:val="00AA2D84"/>
    <w:rsid w:val="00B37B15"/>
    <w:rsid w:val="00B4680A"/>
    <w:rsid w:val="00B77001"/>
    <w:rsid w:val="00B94A74"/>
    <w:rsid w:val="00BA42E3"/>
    <w:rsid w:val="00C11B98"/>
    <w:rsid w:val="00C26F4D"/>
    <w:rsid w:val="00C62DAF"/>
    <w:rsid w:val="00CA47AC"/>
    <w:rsid w:val="00D26DD7"/>
    <w:rsid w:val="00D51285"/>
    <w:rsid w:val="00DA3C99"/>
    <w:rsid w:val="00DD412B"/>
    <w:rsid w:val="00E754BA"/>
    <w:rsid w:val="00EA285C"/>
    <w:rsid w:val="00EA39A8"/>
    <w:rsid w:val="00ED4EF3"/>
    <w:rsid w:val="00F87008"/>
    <w:rsid w:val="00F96C43"/>
    <w:rsid w:val="00F9705C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F71AC"/>
  <w15:chartTrackingRefBased/>
  <w15:docId w15:val="{386518E8-D559-4D78-991B-B7F80845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">
    <w:name w:val="c26"/>
    <w:basedOn w:val="Normal"/>
    <w:rsid w:val="0019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1947F4"/>
  </w:style>
  <w:style w:type="paragraph" w:styleId="Header">
    <w:name w:val="header"/>
    <w:basedOn w:val="Normal"/>
    <w:link w:val="HeaderChar"/>
    <w:uiPriority w:val="99"/>
    <w:unhideWhenUsed/>
    <w:rsid w:val="0019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F4"/>
  </w:style>
  <w:style w:type="paragraph" w:styleId="Footer">
    <w:name w:val="footer"/>
    <w:basedOn w:val="Normal"/>
    <w:link w:val="FooterChar"/>
    <w:uiPriority w:val="99"/>
    <w:unhideWhenUsed/>
    <w:rsid w:val="0019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F4"/>
  </w:style>
  <w:style w:type="table" w:styleId="TableGrid">
    <w:name w:val="Table Grid"/>
    <w:basedOn w:val="TableNormal"/>
    <w:uiPriority w:val="39"/>
    <w:rsid w:val="00C6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95A9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6C697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69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1">
    <w:name w:val="Plain Table 1"/>
    <w:basedOn w:val="TableNormal"/>
    <w:uiPriority w:val="41"/>
    <w:rsid w:val="006C6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Sereen Benchohra</dc:creator>
  <cp:keywords/>
  <dc:description/>
  <cp:lastModifiedBy>Sereen Benchohra</cp:lastModifiedBy>
  <cp:revision>66</cp:revision>
  <dcterms:created xsi:type="dcterms:W3CDTF">2020-08-26T22:47:00Z</dcterms:created>
  <dcterms:modified xsi:type="dcterms:W3CDTF">2020-08-29T04:41:00Z</dcterms:modified>
</cp:coreProperties>
</file>