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04. AI / 3D / Scan / Print Pipelines</w:t>
      </w:r>
    </w:p>
    <w:p>
      <w:pPr>
        <w:jc w:val="center"/>
      </w:pPr>
      <w:r>
        <w:rPr>
          <w:i/>
        </w:rPr>
        <w:t>Как конкретно исполняются ключевые MVP-функции</w:t>
      </w:r>
    </w:p>
    <w:p>
      <w:pPr>
        <w:pStyle w:val="Heading1"/>
      </w:pPr>
      <w:r>
        <w:t>F-001 AI Designer</w:t>
      </w:r>
    </w:p>
    <w:p>
      <w:r>
        <w:t>Prompt → intent classification → clarify dimensions/constraints → OperationPlan → geometry execution → topology validation → tessellation preview → create ProjectVersion → optional print analysis. Начать с параметрических primitives/booleans/extrude/fillet/pattern/text/holes; artistic text-to-mesh подключать отдельным mode, не смешивать с CAD.</w:t>
      </w:r>
    </w:p>
    <w:p>
      <w:pPr>
        <w:pStyle w:val="Heading1"/>
      </w:pPr>
      <w:r>
        <w:t>F-003/F-062 Physical AI Editor</w:t>
      </w:r>
    </w:p>
    <w:p>
      <w:r>
        <w:t>Client sends selection IDs + prompt + current version. Planner resolves requested change only within permitted entities, produces operation diff. Geometry service executes against prior B-Rep/feature graph. Result is a new version. UI renders before/after preview and supports accept/reject.</w:t>
      </w:r>
    </w:p>
    <w:p>
      <w:pPr>
        <w:pStyle w:val="Heading1"/>
      </w:pPr>
      <w:r>
        <w:t>F-002 AI Scan</w:t>
      </w:r>
    </w:p>
    <w:p>
      <w:r>
        <w:t>Mobile capture session → device capability probe → guided capture → frames/depth/poses/intrinsics upload → reconstruction worker → metric scale verification → cleanup → mesh validation → optional primitive fitting → preview. LiDAR improves metric depth but pipeline must also support non-LiDAR devices.</w:t>
      </w:r>
    </w:p>
    <w:p>
      <w:pPr>
        <w:pStyle w:val="Heading1"/>
      </w:pPr>
      <w:r>
        <w:t>F-006 AI Repair</w:t>
      </w:r>
    </w:p>
    <w:p>
      <w:r>
        <w:t>Import → format parser → mesh diagnostics (non-manifold edges, degenerate faces, flipped normals, holes, self-intersection) → repair strategy → post-repair validation → delta report. Never overwrite source asset.</w:t>
      </w:r>
    </w:p>
    <w:p>
      <w:pPr>
        <w:pStyle w:val="Heading1"/>
      </w:pPr>
      <w:r>
        <w:t>F-014/F-015 Conversion</w:t>
      </w:r>
    </w:p>
    <w:p>
      <w:r>
        <w:t>Source parser → normalized internal scene/geometry representation → target exporter → integrity comparison. Compare bounding box, vertex/face counts where meaningful, units, materials, hierarchy, topology checks. Produce conversion_report.json.</w:t>
      </w:r>
    </w:p>
    <w:p>
      <w:pPr>
        <w:pStyle w:val="Heading1"/>
      </w:pPr>
      <w:r>
        <w:t>F-008/F-030 Print Check/Score</w:t>
      </w:r>
    </w:p>
    <w:p>
      <w:r>
        <w:t>Watertight/manifold checks → minimum thickness → overhang/support estimate → bed fit/orientation → material/printer constraints → slicer dry-run where supported → time/mass estimates → weighted score + explainable warnings.</w:t>
      </w:r>
    </w:p>
    <w:p>
      <w:pPr>
        <w:pStyle w:val="Heading1"/>
      </w:pPr>
      <w:r>
        <w:t>F-031 Optimize Print</w:t>
      </w:r>
    </w:p>
    <w:p>
      <w:r>
        <w:t>Generate candidate orientations/settings/geometry-safe transforms → score each → select Pareto candidates for time/material/support/strength → user picks or auto-applies non-destructive recommendation.</w:t>
      </w:r>
    </w:p>
    <w:p>
      <w:pPr>
        <w:pStyle w:val="Heading1"/>
      </w:pPr>
      <w:r>
        <w:t>F-076 Print-ready export</w:t>
      </w:r>
    </w:p>
    <w:p>
      <w:r>
        <w:t>Gate export on validation result. Green: export. Yellow: export with warning. Red: require explicit override only for non-safety-critical conditions; corrupt topology should block printable claim.</w:t>
      </w:r>
    </w:p>
    <w:p>
      <w:pPr>
        <w:pStyle w:val="Heading1"/>
      </w:pPr>
      <w:r>
        <w:t>Shared pipeline rules</w:t>
      </w:r>
    </w:p>
    <w:p>
      <w:pPr>
        <w:pStyle w:val="ListBullet"/>
      </w:pPr>
      <w:r>
        <w:t>Every pipeline writes stage timing, input/output hashes, model/provider version and cost.</w:t>
      </w:r>
    </w:p>
    <w:p>
      <w:pPr>
        <w:pStyle w:val="ListBullet"/>
      </w:pPr>
      <w:r>
        <w:t>GPU/AI timeouts and budgets are enforced per job; partial artifacts may be preserved for debugging, not surfaced as valid final output.</w:t>
      </w:r>
    </w:p>
    <w:p>
      <w:pPr>
        <w:pStyle w:val="ListBullet"/>
      </w:pPr>
      <w:r>
        <w:t>Geometry kernel errors are structured (operation, entity, tolerance, kernel message) and translated to user-safe explanations.</w:t>
      </w:r>
    </w:p>
    <w:p>
      <w:pPr>
        <w:pStyle w:val="ListBullet"/>
      </w:pPr>
      <w:r>
        <w:t>All generated output receives provenance metadata and quality state: unvalidated / validated / printable-advisory / export-only.</w:t>
      </w:r>
    </w:p>
    <w:p>
      <w:pPr>
        <w:pStyle w:val="ListBullet"/>
      </w:pPr>
      <w:r>
        <w:t>Never claim structural/safety certification from lightweight simulation. Engineering safety features require explicit disclaimers and later validated solvers.</w:t>
      </w:r>
    </w:p>
    <w:p>
      <w:pPr>
        <w:pStyle w:val="Heading1"/>
      </w:pPr>
      <w:r>
        <w:t>Internal geometry representation strategy</w:t>
      </w:r>
    </w:p>
    <w:p>
      <w:r>
        <w:t>For functional parts, canonical source should be parametric feature graph + B-Rep where possible; mesh is a derivative for viewport/printing. For scans and artistic/game assets, canonical source may be mesh/scene. Project can contain both asset classes, but operations declare what representations they support.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