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05. DevOps, Security &amp; Observability</w:t>
      </w:r>
    </w:p>
    <w:p>
      <w:pPr>
        <w:jc w:val="center"/>
      </w:pPr>
      <w:r>
        <w:rPr>
          <w:i/>
        </w:rPr>
        <w:t>Среды, CI/CD, sandboxing, backups and cost controls</w:t>
      </w:r>
    </w:p>
    <w:p>
      <w:pPr>
        <w:pStyle w:val="Heading1"/>
      </w:pPr>
      <w:r>
        <w:t>1.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7E6E6"/>
          </w:tcPr>
          <w:p>
            <w:r>
              <w:t>Environment</w:t>
            </w:r>
          </w:p>
        </w:tc>
        <w:tc>
          <w:tcPr>
            <w:tcW w:type="dxa" w:w="5156"/>
            <w:shd w:fill="E7E6E6"/>
          </w:tcPr>
          <w:p>
            <w:r>
              <w:t>Rule</w:t>
            </w:r>
          </w:p>
        </w:tc>
      </w:tr>
      <w:tr>
        <w:tc>
          <w:tcPr>
            <w:tcW w:type="dxa" w:w="5156"/>
          </w:tcPr>
          <w:p>
            <w:r>
              <w:t>local</w:t>
            </w:r>
          </w:p>
        </w:tc>
        <w:tc>
          <w:tcPr>
            <w:tcW w:type="dxa" w:w="5156"/>
          </w:tcPr>
          <w:p>
            <w:r>
              <w:t>docker compose + local S3 emulator; optional remote GPU dev</w:t>
            </w:r>
          </w:p>
        </w:tc>
      </w:tr>
      <w:tr>
        <w:tc>
          <w:tcPr>
            <w:tcW w:type="dxa" w:w="5156"/>
          </w:tcPr>
          <w:p>
            <w:r>
              <w:t>dev</w:t>
            </w:r>
          </w:p>
        </w:tc>
        <w:tc>
          <w:tcPr>
            <w:tcW w:type="dxa" w:w="5156"/>
          </w:tcPr>
          <w:p>
            <w:r>
              <w:t>shared managed services, disposable data</w:t>
            </w:r>
          </w:p>
        </w:tc>
      </w:tr>
      <w:tr>
        <w:tc>
          <w:tcPr>
            <w:tcW w:type="dxa" w:w="5156"/>
          </w:tcPr>
          <w:p>
            <w:r>
              <w:t>staging</w:t>
            </w:r>
          </w:p>
        </w:tc>
        <w:tc>
          <w:tcPr>
            <w:tcW w:type="dxa" w:w="5156"/>
          </w:tcPr>
          <w:p>
            <w:r>
              <w:t>production-like configs, synthetic/test assets only where possible</w:t>
            </w:r>
          </w:p>
        </w:tc>
      </w:tr>
      <w:tr>
        <w:tc>
          <w:tcPr>
            <w:tcW w:type="dxa" w:w="5156"/>
          </w:tcPr>
          <w:p>
            <w:r>
              <w:t>production</w:t>
            </w:r>
          </w:p>
        </w:tc>
        <w:tc>
          <w:tcPr>
            <w:tcW w:type="dxa" w:w="5156"/>
          </w:tcPr>
          <w:p>
            <w:r>
              <w:t>isolated account/project, backups, WAF/rate limits, audited access</w:t>
            </w:r>
          </w:p>
        </w:tc>
      </w:tr>
    </w:tbl>
    <w:p>
      <w:pPr>
        <w:pStyle w:val="Heading1"/>
      </w:pPr>
      <w:r>
        <w:t>2. CI gates</w:t>
      </w:r>
    </w:p>
    <w:p>
      <w:pPr>
        <w:pStyle w:val="ListBullet"/>
      </w:pPr>
      <w:r>
        <w:t>format/lint/typecheck for TS/Python/C++; unit tests; migration lint; OpenAPI diff.</w:t>
      </w:r>
    </w:p>
    <w:p>
      <w:pPr>
        <w:pStyle w:val="ListBullet"/>
      </w:pPr>
      <w:r>
        <w:t>build all clients/services; container scan; dependency vulnerability scan.</w:t>
      </w:r>
    </w:p>
    <w:p>
      <w:pPr>
        <w:pStyle w:val="ListBullet"/>
      </w:pPr>
      <w:r>
        <w:t>geometry golden tests on canonical fixtures; import/export roundtrip tests.</w:t>
      </w:r>
    </w:p>
    <w:p>
      <w:pPr>
        <w:pStyle w:val="ListBullet"/>
      </w:pPr>
      <w:r>
        <w:t>PR cannot merge if Feature ID missing from title/body metadata for product changes.</w:t>
      </w:r>
    </w:p>
    <w:p>
      <w:pPr>
        <w:pStyle w:val="Heading1"/>
      </w:pPr>
      <w:r>
        <w:t>3. File-processing security</w:t>
      </w:r>
    </w:p>
    <w:p>
      <w:pPr>
        <w:pStyle w:val="ListBullet"/>
      </w:pPr>
      <w:r>
        <w:t>All untrusted model files parsed in isolated worker containers with CPU/memory/time/file-size limits.</w:t>
      </w:r>
    </w:p>
    <w:p>
      <w:pPr>
        <w:pStyle w:val="ListBullet"/>
      </w:pPr>
      <w:r>
        <w:t>No outbound network in converter sandbox unless explicitly required.</w:t>
      </w:r>
    </w:p>
    <w:p>
      <w:pPr>
        <w:pStyle w:val="ListBullet"/>
      </w:pPr>
      <w:r>
        <w:t>Content-type detection by magic bytes in addition to filename extension.</w:t>
      </w:r>
    </w:p>
    <w:p>
      <w:pPr>
        <w:pStyle w:val="ListBullet"/>
      </w:pPr>
      <w:r>
        <w:t>Archive bomb/path traversal defenses; reject nested/pathological inputs.</w:t>
      </w:r>
    </w:p>
    <w:p>
      <w:pPr>
        <w:pStyle w:val="ListBullet"/>
      </w:pPr>
      <w:r>
        <w:t>Original is preserved; derived files stored under new keys; hashes verified after upload/download.</w:t>
      </w:r>
    </w:p>
    <w:p>
      <w:pPr>
        <w:pStyle w:val="Heading1"/>
      </w:pPr>
      <w:r>
        <w:t>4. Auth and authorization</w:t>
      </w:r>
    </w:p>
    <w:p>
      <w:pPr>
        <w:pStyle w:val="ListBullet"/>
      </w:pPr>
      <w:r>
        <w:t>OIDC-capable auth provider initially; workspace RBAC owner/admin/editor/viewer.</w:t>
      </w:r>
    </w:p>
    <w:p>
      <w:pPr>
        <w:pStyle w:val="ListBullet"/>
      </w:pPr>
      <w:r>
        <w:t>Authorization in service layer for every project/asset action; signed URL generation only after policy check.</w:t>
      </w:r>
    </w:p>
    <w:p>
      <w:pPr>
        <w:pStyle w:val="ListBullet"/>
      </w:pPr>
      <w:r>
        <w:t>Admin actions audited; support impersonation disabled by default or tightly controlled.</w:t>
      </w:r>
    </w:p>
    <w:p>
      <w:pPr>
        <w:pStyle w:val="Heading1"/>
      </w:pPr>
      <w:r>
        <w:t>5.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7E6E6"/>
          </w:tcPr>
          <w:p>
            <w:r>
              <w:t>Area</w:t>
            </w:r>
          </w:p>
        </w:tc>
        <w:tc>
          <w:tcPr>
            <w:tcW w:type="dxa" w:w="5156"/>
            <w:shd w:fill="E7E6E6"/>
          </w:tcPr>
          <w:p>
            <w:r>
              <w:t>Metrics</w:t>
            </w:r>
          </w:p>
        </w:tc>
      </w:tr>
      <w:tr>
        <w:tc>
          <w:tcPr>
            <w:tcW w:type="dxa" w:w="5156"/>
          </w:tcPr>
          <w:p>
            <w:r>
              <w:t>Product</w:t>
            </w:r>
          </w:p>
        </w:tc>
        <w:tc>
          <w:tcPr>
            <w:tcW w:type="dxa" w:w="5156"/>
          </w:tcPr>
          <w:p>
            <w:r>
              <w:t>time-to-first-valid-model, command success, export success, first-print success feedback</w:t>
            </w:r>
          </w:p>
        </w:tc>
      </w:tr>
      <w:tr>
        <w:tc>
          <w:tcPr>
            <w:tcW w:type="dxa" w:w="5156"/>
          </w:tcPr>
          <w:p>
            <w:r>
              <w:t>AI</w:t>
            </w:r>
          </w:p>
        </w:tc>
        <w:tc>
          <w:tcPr>
            <w:tcW w:type="dxa" w:w="5156"/>
          </w:tcPr>
          <w:p>
            <w:r>
              <w:t>tokens/GPU seconds/cost, clarification rate, plan rejection, hallucinated unsupported operations</w:t>
            </w:r>
          </w:p>
        </w:tc>
      </w:tr>
      <w:tr>
        <w:tc>
          <w:tcPr>
            <w:tcW w:type="dxa" w:w="5156"/>
          </w:tcPr>
          <w:p>
            <w:r>
              <w:t>Geometry</w:t>
            </w:r>
          </w:p>
        </w:tc>
        <w:tc>
          <w:tcPr>
            <w:tcW w:type="dxa" w:w="5156"/>
          </w:tcPr>
          <w:p>
            <w:r>
              <w:t>kernel failure by operation, invalid topology rate, repair success, roundtrip drift</w:t>
            </w:r>
          </w:p>
        </w:tc>
      </w:tr>
      <w:tr>
        <w:tc>
          <w:tcPr>
            <w:tcW w:type="dxa" w:w="5156"/>
          </w:tcPr>
          <w:p>
            <w:r>
              <w:t>Infra</w:t>
            </w:r>
          </w:p>
        </w:tc>
        <w:tc>
          <w:tcPr>
            <w:tcW w:type="dxa" w:w="5156"/>
          </w:tcPr>
          <w:p>
            <w:r>
              <w:t>queue latency, p95 job duration, worker OOM, storage egress, DB saturation</w:t>
            </w:r>
          </w:p>
        </w:tc>
      </w:tr>
      <w:tr>
        <w:tc>
          <w:tcPr>
            <w:tcW w:type="dxa" w:w="5156"/>
          </w:tcPr>
          <w:p>
            <w:r>
              <w:t>Business</w:t>
            </w:r>
          </w:p>
        </w:tc>
        <w:tc>
          <w:tcPr>
            <w:tcW w:type="dxa" w:w="5156"/>
          </w:tcPr>
          <w:p>
            <w:r>
              <w:t>credits consumed per successful result, gross margin per AI operation</w:t>
            </w:r>
          </w:p>
        </w:tc>
      </w:tr>
    </w:tbl>
    <w:p>
      <w:pPr>
        <w:pStyle w:val="Heading1"/>
      </w:pPr>
      <w:r>
        <w:t>6. Backup and disaster recovery</w:t>
      </w:r>
    </w:p>
    <w:p>
      <w:pPr>
        <w:pStyle w:val="ListBullet"/>
      </w:pPr>
      <w:r>
        <w:t>Postgres PITR + daily snapshots; quarterly restore drills.</w:t>
      </w:r>
    </w:p>
    <w:p>
      <w:pPr>
        <w:pStyle w:val="ListBullet"/>
      </w:pPr>
      <w:r>
        <w:t>Object storage versioning/lifecycle; originals protected from accidental overwrite.</w:t>
      </w:r>
    </w:p>
    <w:p>
      <w:pPr>
        <w:pStyle w:val="ListBullet"/>
      </w:pPr>
      <w:r>
        <w:t>Infrastructure definitions stored in Git; secrets never in repo.</w:t>
      </w:r>
    </w:p>
    <w:p>
      <w:pPr>
        <w:pStyle w:val="ListBullet"/>
      </w:pPr>
      <w:r>
        <w:t>RPO/RTO start modestly but documented; marketplace/payment data gets stricter objectives.</w:t>
      </w:r>
    </w:p>
    <w:p>
      <w:pPr>
        <w:pStyle w:val="Heading1"/>
      </w:pPr>
      <w:r>
        <w:t>7. Cost guardrails</w:t>
      </w:r>
    </w:p>
    <w:p>
      <w:pPr>
        <w:pStyle w:val="ListBullet"/>
      </w:pPr>
      <w:r>
        <w:t>Preflight estimate for expensive GPU jobs; refuse/ask confirmation above workspace budget.</w:t>
      </w:r>
    </w:p>
    <w:p>
      <w:pPr>
        <w:pStyle w:val="ListBullet"/>
      </w:pPr>
      <w:r>
        <w:t>Cache by content hash + parameters for deterministic conversions/previews.</w:t>
      </w:r>
    </w:p>
    <w:p>
      <w:pPr>
        <w:pStyle w:val="ListBullet"/>
      </w:pPr>
      <w:r>
        <w:t>Deduplicate uploads by hash within privacy boundary.</w:t>
      </w:r>
    </w:p>
    <w:p>
      <w:pPr>
        <w:pStyle w:val="ListBullet"/>
      </w:pPr>
      <w:r>
        <w:t>Autoscale GPU worker pools separately by model type; scale to zero for rare workloads if platform supports it.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