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07. Testing &amp; Quality Gates</w:t>
      </w:r>
    </w:p>
    <w:p>
      <w:pPr>
        <w:jc w:val="center"/>
      </w:pPr>
      <w:r>
        <w:rPr>
          <w:i/>
        </w:rPr>
        <w:t>Как не получить красивый, но ненадёжный 3D-продукт</w:t>
      </w:r>
    </w:p>
    <w:p>
      <w:pPr>
        <w:pStyle w:val="Heading1"/>
      </w:pPr>
      <w:r>
        <w:t>1. Test pyramid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7E6E6"/>
          </w:tcPr>
          <w:p>
            <w:r>
              <w:t>Layer</w:t>
            </w:r>
          </w:p>
        </w:tc>
        <w:tc>
          <w:tcPr>
            <w:tcW w:type="dxa" w:w="5156"/>
            <w:shd w:fill="E7E6E6"/>
          </w:tcPr>
          <w:p>
            <w:r>
              <w:t>Coverage</w:t>
            </w:r>
          </w:p>
        </w:tc>
      </w:tr>
      <w:tr>
        <w:tc>
          <w:tcPr>
            <w:tcW w:type="dxa" w:w="5156"/>
          </w:tcPr>
          <w:p>
            <w:r>
              <w:t>Unit</w:t>
            </w:r>
          </w:p>
        </w:tc>
        <w:tc>
          <w:tcPr>
            <w:tcW w:type="dxa" w:w="5156"/>
          </w:tcPr>
          <w:p>
            <w:r>
              <w:t>parsers, operation validation, scoring, permissions, cost math</w:t>
            </w:r>
          </w:p>
        </w:tc>
      </w:tr>
      <w:tr>
        <w:tc>
          <w:tcPr>
            <w:tcW w:type="dxa" w:w="5156"/>
          </w:tcPr>
          <w:p>
            <w:r>
              <w:t>Geometry golden</w:t>
            </w:r>
          </w:p>
        </w:tc>
        <w:tc>
          <w:tcPr>
            <w:tcW w:type="dxa" w:w="5156"/>
          </w:tcPr>
          <w:p>
            <w:r>
              <w:t>known CAD/mesh input → expected bbox/topology/hash/tolerances</w:t>
            </w:r>
          </w:p>
        </w:tc>
      </w:tr>
      <w:tr>
        <w:tc>
          <w:tcPr>
            <w:tcW w:type="dxa" w:w="5156"/>
          </w:tcPr>
          <w:p>
            <w:r>
              <w:t>Integration</w:t>
            </w:r>
          </w:p>
        </w:tc>
        <w:tc>
          <w:tcPr>
            <w:tcW w:type="dxa" w:w="5156"/>
          </w:tcPr>
          <w:p>
            <w:r>
              <w:t>API + DB + storage + worker + geometry service</w:t>
            </w:r>
          </w:p>
        </w:tc>
      </w:tr>
      <w:tr>
        <w:tc>
          <w:tcPr>
            <w:tcW w:type="dxa" w:w="5156"/>
          </w:tcPr>
          <w:p>
            <w:r>
              <w:t>Roundtrip</w:t>
            </w:r>
          </w:p>
        </w:tc>
        <w:tc>
          <w:tcPr>
            <w:tcW w:type="dxa" w:w="5156"/>
          </w:tcPr>
          <w:p>
            <w:r>
              <w:t>STEP/3MF/GLB/STL import→export→reimport comparisons</w:t>
            </w:r>
          </w:p>
        </w:tc>
      </w:tr>
      <w:tr>
        <w:tc>
          <w:tcPr>
            <w:tcW w:type="dxa" w:w="5156"/>
          </w:tcPr>
          <w:p>
            <w:r>
              <w:t>E2E clients</w:t>
            </w:r>
          </w:p>
        </w:tc>
        <w:tc>
          <w:tcPr>
            <w:tcW w:type="dxa" w:w="5156"/>
          </w:tcPr>
          <w:p>
            <w:r>
              <w:t>upload → edit → analyze → export</w:t>
            </w:r>
          </w:p>
        </w:tc>
      </w:tr>
      <w:tr>
        <w:tc>
          <w:tcPr>
            <w:tcW w:type="dxa" w:w="5156"/>
          </w:tcPr>
          <w:p>
            <w:r>
              <w:t>Device</w:t>
            </w:r>
          </w:p>
        </w:tc>
        <w:tc>
          <w:tcPr>
            <w:tcW w:type="dxa" w:w="5156"/>
          </w:tcPr>
          <w:p>
            <w:r>
              <w:t>camera/depth/LiDAR capability matrix</w:t>
            </w:r>
          </w:p>
        </w:tc>
      </w:tr>
      <w:tr>
        <w:tc>
          <w:tcPr>
            <w:tcW w:type="dxa" w:w="5156"/>
          </w:tcPr>
          <w:p>
            <w:r>
              <w:t>Security</w:t>
            </w:r>
          </w:p>
        </w:tc>
        <w:tc>
          <w:tcPr>
            <w:tcW w:type="dxa" w:w="5156"/>
          </w:tcPr>
          <w:p>
            <w:r>
              <w:t>malformed files, authz, rate limit, sandbox escape assumptions</w:t>
            </w:r>
          </w:p>
        </w:tc>
      </w:tr>
      <w:tr>
        <w:tc>
          <w:tcPr>
            <w:tcW w:type="dxa" w:w="5156"/>
          </w:tcPr>
          <w:p>
            <w:r>
              <w:t>Performance</w:t>
            </w:r>
          </w:p>
        </w:tc>
        <w:tc>
          <w:tcPr>
            <w:tcW w:type="dxa" w:w="5156"/>
          </w:tcPr>
          <w:p>
            <w:r>
              <w:t>large meshes, concurrent jobs, GPU queue, DB query p95</w:t>
            </w:r>
          </w:p>
        </w:tc>
      </w:tr>
    </w:tbl>
    <w:p>
      <w:pPr>
        <w:pStyle w:val="Heading1"/>
      </w:pPr>
      <w:r>
        <w:t>2. Geometry quality gates</w:t>
      </w:r>
    </w:p>
    <w:p>
      <w:pPr>
        <w:pStyle w:val="ListBullet"/>
      </w:pPr>
      <w:r>
        <w:t>No NaN/Inf coordinates, no zero-size bounding boxes unless intentionally 2D, unit metadata explicit.</w:t>
      </w:r>
    </w:p>
    <w:p>
      <w:pPr>
        <w:pStyle w:val="ListBullet"/>
      </w:pPr>
      <w:r>
        <w:t>Printable green status requires manifold/watertight rules appropriate to representation.</w:t>
      </w:r>
    </w:p>
    <w:p>
      <w:pPr>
        <w:pStyle w:val="ListBullet"/>
      </w:pPr>
      <w:r>
        <w:t>CAD operations validate B-Rep after execution; failed kernel op never silently returns corrupted model.</w:t>
      </w:r>
    </w:p>
    <w:p>
      <w:pPr>
        <w:pStyle w:val="ListBullet"/>
      </w:pPr>
      <w:r>
        <w:t>Golden fixtures cover near-tolerance booleans, tiny fillets, thin walls, inverted normals and open shells.</w:t>
      </w:r>
    </w:p>
    <w:p>
      <w:pPr>
        <w:pStyle w:val="ListBullet"/>
      </w:pPr>
      <w:r>
        <w:t>Conversion drift thresholds depend on format semantics; do not compare vertex count when tessellation legitimately changes.</w:t>
      </w:r>
    </w:p>
    <w:p>
      <w:pPr>
        <w:pStyle w:val="Heading1"/>
      </w:pPr>
      <w:r>
        <w:t>3. AI quality gates</w:t>
      </w:r>
    </w:p>
    <w:p>
      <w:pPr>
        <w:pStyle w:val="ListBullet"/>
      </w:pPr>
      <w:r>
        <w:t>Planner output must validate against JSON schema and capability registry.</w:t>
      </w:r>
    </w:p>
    <w:p>
      <w:pPr>
        <w:pStyle w:val="ListBullet"/>
      </w:pPr>
      <w:r>
        <w:t>Unsupported operation → clarification/refusal, not invented kernel command.</w:t>
      </w:r>
    </w:p>
    <w:p>
      <w:pPr>
        <w:pStyle w:val="ListBullet"/>
      </w:pPr>
      <w:r>
        <w:t>Prompt regression set includes Russian and English maker language, incomplete dimensions and ambiguous units.</w:t>
      </w:r>
    </w:p>
    <w:p>
      <w:pPr>
        <w:pStyle w:val="ListBullet"/>
      </w:pPr>
      <w:r>
        <w:t>Measure task success after execution, not only whether JSON parsed.</w:t>
      </w:r>
    </w:p>
    <w:p>
      <w:pPr>
        <w:pStyle w:val="ListBullet"/>
      </w:pPr>
      <w:r>
        <w:t>Log model/provider/version so regressions are attributable.</w:t>
      </w:r>
    </w:p>
    <w:p>
      <w:pPr>
        <w:pStyle w:val="Heading1"/>
      </w:pPr>
      <w:r>
        <w:t>4. Definition of Done</w:t>
      </w:r>
    </w:p>
    <w:p>
      <w:pPr>
        <w:pStyle w:val="ListBullet"/>
      </w:pPr>
      <w:r>
        <w:t>F-ID/T-ID present; acceptance criteria met; tests added; docs/API schema updated.</w:t>
      </w:r>
    </w:p>
    <w:p>
      <w:pPr>
        <w:pStyle w:val="ListBullet"/>
      </w:pPr>
      <w:r>
        <w:t>No new high-severity security issue; no unbounded file parser path.</w:t>
      </w:r>
    </w:p>
    <w:p>
      <w:pPr>
        <w:pStyle w:val="ListBullet"/>
      </w:pPr>
      <w:r>
        <w:t>Observability added for new long-running stage.</w:t>
      </w:r>
    </w:p>
    <w:p>
      <w:pPr>
        <w:pStyle w:val="ListBullet"/>
      </w:pPr>
      <w:r>
        <w:t>Cost impact measured for AI/GPU feature.</w:t>
      </w:r>
    </w:p>
    <w:p>
      <w:pPr>
        <w:pStyle w:val="ListBullet"/>
      </w:pPr>
      <w:r>
        <w:t>User-facing failure path is understandable and recoverable.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