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РИСКИ, ПРАВО, ДАННЫЕ И БЕЗОПАСНОСТЬ</w:t>
      </w:r>
    </w:p>
    <w:p>
      <w:pPr>
        <w:jc w:val="center"/>
      </w:pPr>
      <w:r>
        <w:rPr>
          <w:color w:val="666666"/>
          <w:sz w:val="26"/>
        </w:rPr>
        <w:t>Что необходимо учесть до масштабирования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Intellectual property и модели</w:t>
      </w:r>
    </w:p>
    <w:p>
      <w:pPr>
        <w:pStyle w:val="ListBullet"/>
      </w:pPr>
      <w:r>
        <w:t>Хранить лицензию каждого marketplace asset как машиночитаемое поле.</w:t>
      </w:r>
    </w:p>
    <w:p>
      <w:pPr>
        <w:pStyle w:val="ListBullet"/>
      </w:pPr>
      <w:r>
        <w:t>Remix должен сохранять lineage и требования attribution/share-alike/commercial restrictions.</w:t>
      </w:r>
    </w:p>
    <w:p>
      <w:pPr>
        <w:pStyle w:val="ListBullet"/>
      </w:pPr>
      <w:r>
        <w:t>Не обещать пользователю право коммерческой продажи, если исходная лицензия этого не допускает.</w:t>
      </w:r>
    </w:p>
    <w:p>
      <w:pPr>
        <w:pStyle w:val="ListBullet"/>
      </w:pPr>
      <w:r>
        <w:t>Процедура takedown/жалоб и повторных нарушителей.</w:t>
      </w:r>
    </w:p>
    <w:p>
      <w:pPr>
        <w:pStyle w:val="ListBullet"/>
      </w:pPr>
      <w:r>
        <w:t>Отдельные правила для trademarked/copyrighted characters и user-generated game/cosplay assets.</w:t>
      </w:r>
    </w:p>
    <w:p>
      <w:pPr>
        <w:pStyle w:val="Heading1"/>
      </w:pPr>
      <w:r>
        <w:t>2. AI training consent</w:t>
      </w:r>
    </w:p>
    <w:p>
      <w:r>
        <w:t>Пользовательские private models, scans и camera data по умолчанию не должны автоматически становиться обучающими данными. Consent должен быть отдельным, понятным и отзывным. Нужны правила удаления derived training references, насколько это технически и юридически возможно.</w:t>
      </w:r>
    </w:p>
    <w:p>
      <w:pPr>
        <w:pStyle w:val="Heading1"/>
      </w:pPr>
      <w:r>
        <w:t>3. Privacy</w:t>
      </w:r>
    </w:p>
    <w:p>
      <w:pPr>
        <w:pStyle w:val="ListBullet"/>
      </w:pPr>
      <w:r>
        <w:t>Room scans могут раскрывать личное пространство; минимизация retention и on-device preprocessing особенно важны.</w:t>
      </w:r>
    </w:p>
    <w:p>
      <w:pPr>
        <w:pStyle w:val="ListBullet"/>
      </w:pPr>
      <w:r>
        <w:t>Удалять EXIF/GPS там, где они не нужны для функции.</w:t>
      </w:r>
    </w:p>
    <w:p>
      <w:pPr>
        <w:pStyle w:val="ListBullet"/>
      </w:pPr>
      <w:r>
        <w:t>Separate public marketplace assets from private projects by access controls and storage paths.</w:t>
      </w:r>
    </w:p>
    <w:p>
      <w:pPr>
        <w:pStyle w:val="ListBullet"/>
      </w:pPr>
      <w:r>
        <w:t>Data export/delete self-service.</w:t>
      </w:r>
    </w:p>
    <w:p>
      <w:pPr>
        <w:pStyle w:val="ListBullet"/>
      </w:pPr>
      <w:r>
        <w:t>Возрастные требования и marketplace/payment compliance по странам запуска.</w:t>
      </w:r>
    </w:p>
    <w:p>
      <w:pPr>
        <w:pStyle w:val="Heading1"/>
      </w:pPr>
      <w:r>
        <w:t>4. Physical safety</w:t>
      </w:r>
    </w:p>
    <w:p>
      <w:r>
        <w:t>Сервис не должен позиционировать consumer AI simulation как замену профессиональному инженерному расчёту. Для деталей, связанных с жизненно важными, автомобильными, электрическими, газовыми, медицинскими или высоконагруженными системами, нужен risk messaging и при необходимости ограничение автоматических заверений.</w:t>
      </w:r>
    </w:p>
    <w:p>
      <w:pPr>
        <w:pStyle w:val="Heading1"/>
      </w:pPr>
      <w:r>
        <w:t>5. Manufacturing liability</w:t>
      </w:r>
    </w:p>
    <w:p>
      <w:pPr>
        <w:pStyle w:val="ListBullet"/>
      </w:pPr>
      <w:r>
        <w:t>Чётко разделить «digital design recommendation» и ответственность производителя/исполнителя.</w:t>
      </w:r>
    </w:p>
    <w:p>
      <w:pPr>
        <w:pStyle w:val="ListBullet"/>
      </w:pPr>
      <w:r>
        <w:t>QA policy для print farms, материал/цвет/допуски в заказе.</w:t>
      </w:r>
    </w:p>
    <w:p>
      <w:pPr>
        <w:pStyle w:val="ListBullet"/>
      </w:pPr>
      <w:r>
        <w:t>Reprint/refund правила.</w:t>
      </w:r>
    </w:p>
    <w:p>
      <w:pPr>
        <w:pStyle w:val="ListBullet"/>
      </w:pPr>
      <w:r>
        <w:t>Запрещённые категории объектов и marketplace moderation должны определяться юридической политикой рынков запуска.</w:t>
      </w:r>
    </w:p>
    <w:p>
      <w:pPr>
        <w:pStyle w:val="Heading1"/>
      </w:pPr>
      <w:r>
        <w:t>6. Форматы и лицензии ПО</w:t>
      </w:r>
    </w:p>
    <w:p>
      <w:r>
        <w:t>Некоторые форматы и CAD kernels требуют SDK/лицензий. Перед обещанием поддержки .MAX/.BLEND/проприетарных CAD-файлов нужен юридический и технический review. Open-source slicers/geometry libraries также имеют лицензии, которые могут влиять на способ линковки/дистрибуции.</w:t>
      </w:r>
    </w:p>
    <w:p>
      <w:pPr>
        <w:pStyle w:val="Heading1"/>
      </w:pPr>
      <w:r>
        <w:t>7. Vendor lock-in</w:t>
      </w:r>
    </w:p>
    <w:p>
      <w:pPr>
        <w:pStyle w:val="ListBullet"/>
      </w:pPr>
      <w:r>
        <w:t>AI provider abstraction.</w:t>
      </w:r>
    </w:p>
    <w:p>
      <w:pPr>
        <w:pStyle w:val="ListBullet"/>
      </w:pPr>
      <w:r>
        <w:t>S3-compatible storage.</w:t>
      </w:r>
    </w:p>
    <w:p>
      <w:pPr>
        <w:pStyle w:val="ListBullet"/>
      </w:pPr>
      <w:r>
        <w:t>OpenTelemetry.</w:t>
      </w:r>
    </w:p>
    <w:p>
      <w:pPr>
        <w:pStyle w:val="ListBullet"/>
      </w:pPr>
      <w:r>
        <w:t>Canonical internal geometry semantics independent from a single tool.</w:t>
      </w:r>
    </w:p>
    <w:p>
      <w:pPr>
        <w:pStyle w:val="ListBullet"/>
      </w:pPr>
      <w:r>
        <w:t>Export of user projects in open formats where possible.</w:t>
      </w:r>
    </w:p>
    <w:p>
      <w:pPr>
        <w:pStyle w:val="Heading1"/>
      </w:pPr>
      <w:r>
        <w:t>8. Abuse и security</w:t>
      </w:r>
    </w:p>
    <w:p>
      <w:pPr>
        <w:pStyle w:val="ListBullet"/>
      </w:pPr>
      <w:r>
        <w:t>Sandbox parser/conversion.</w:t>
      </w:r>
    </w:p>
    <w:p>
      <w:pPr>
        <w:pStyle w:val="ListBullet"/>
      </w:pPr>
      <w:r>
        <w:t>Virus/malware scanning where relevant.</w:t>
      </w:r>
    </w:p>
    <w:p>
      <w:pPr>
        <w:pStyle w:val="ListBullet"/>
      </w:pPr>
      <w:r>
        <w:t>ZIP/archive bomb limits.</w:t>
      </w:r>
    </w:p>
    <w:p>
      <w:pPr>
        <w:pStyle w:val="ListBullet"/>
      </w:pPr>
      <w:r>
        <w:t>File size/polycount/texture quotas.</w:t>
      </w:r>
    </w:p>
    <w:p>
      <w:pPr>
        <w:pStyle w:val="ListBullet"/>
      </w:pPr>
      <w:r>
        <w:t>GPU abuse/rate limits.</w:t>
      </w:r>
    </w:p>
    <w:p>
      <w:pPr>
        <w:pStyle w:val="ListBullet"/>
      </w:pPr>
      <w:r>
        <w:t>Marketplace spam/fraud/payout risk controls.</w:t>
      </w:r>
    </w:p>
    <w:p>
      <w:pPr>
        <w:pStyle w:val="ListBullet"/>
      </w:pPr>
      <w:r>
        <w:t>Audit trail for admin actions.</w:t>
      </w:r>
    </w:p>
    <w:p>
      <w:pPr>
        <w:pStyle w:val="Heading1"/>
      </w:pPr>
      <w:r>
        <w:t>9. Риски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Риск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Вероятность/влияние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Снижение</w:t>
            </w:r>
          </w:p>
        </w:tc>
      </w:tr>
      <w:tr>
        <w:tc>
          <w:tcPr>
            <w:tcW w:type="dxa" w:w="3389"/>
            <w:vAlign w:val="top"/>
          </w:tcPr>
          <w:p>
            <w:r>
              <w:t>AI генерирует красивую, но непригодную геометрию</w:t>
            </w:r>
          </w:p>
        </w:tc>
        <w:tc>
          <w:tcPr>
            <w:tcW w:type="dxa" w:w="3389"/>
            <w:vAlign w:val="top"/>
          </w:tcPr>
          <w:p>
            <w:r>
              <w:t>Высокое/Высокое</w:t>
            </w:r>
          </w:p>
        </w:tc>
        <w:tc>
          <w:tcPr>
            <w:tcW w:type="dxa" w:w="3389"/>
            <w:vAlign w:val="top"/>
          </w:tcPr>
          <w:p>
            <w:r>
              <w:t>Deterministic tools + validators + narrow functional benchmarks.</w:t>
            </w:r>
          </w:p>
        </w:tc>
      </w:tr>
      <w:tr>
        <w:tc>
          <w:tcPr>
            <w:tcW w:type="dxa" w:w="3389"/>
            <w:vAlign w:val="top"/>
          </w:tcPr>
          <w:p>
            <w:r>
              <w:t>Scan недостаточно точен</w:t>
            </w:r>
          </w:p>
        </w:tc>
        <w:tc>
          <w:tcPr>
            <w:tcW w:type="dxa" w:w="3389"/>
            <w:vAlign w:val="top"/>
          </w:tcPr>
          <w:p>
            <w:r>
              <w:t>Высокое/Высокое</w:t>
            </w:r>
          </w:p>
        </w:tc>
        <w:tc>
          <w:tcPr>
            <w:tcW w:type="dxa" w:w="3389"/>
            <w:vAlign w:val="top"/>
          </w:tcPr>
          <w:p>
            <w:r>
              <w:t>Confidence map + контрольный размер + LiDAR/reference scale.</w:t>
            </w:r>
          </w:p>
        </w:tc>
      </w:tr>
      <w:tr>
        <w:tc>
          <w:tcPr>
            <w:tcW w:type="dxa" w:w="3389"/>
            <w:vAlign w:val="top"/>
          </w:tcPr>
          <w:p>
            <w:r>
              <w:t>Слишком широкий scope</w:t>
            </w:r>
          </w:p>
        </w:tc>
        <w:tc>
          <w:tcPr>
            <w:tcW w:type="dxa" w:w="3389"/>
            <w:vAlign w:val="top"/>
          </w:tcPr>
          <w:p>
            <w:r>
              <w:t>Очень высокое/Высокое</w:t>
            </w:r>
          </w:p>
        </w:tc>
        <w:tc>
          <w:tcPr>
            <w:tcW w:type="dxa" w:w="3389"/>
            <w:vAlign w:val="top"/>
          </w:tcPr>
          <w:p>
            <w:r>
              <w:t>Beachhead MVP и roadmap gates.</w:t>
            </w:r>
          </w:p>
        </w:tc>
      </w:tr>
      <w:tr>
        <w:tc>
          <w:tcPr>
            <w:tcW w:type="dxa" w:w="3389"/>
            <w:vAlign w:val="top"/>
          </w:tcPr>
          <w:p>
            <w:r>
              <w:t>GPU costs</w:t>
            </w:r>
          </w:p>
        </w:tc>
        <w:tc>
          <w:tcPr>
            <w:tcW w:type="dxa" w:w="3389"/>
            <w:vAlign w:val="top"/>
          </w:tcPr>
          <w:p>
            <w:r>
              <w:t>Среднее/Высокое</w:t>
            </w:r>
          </w:p>
        </w:tc>
        <w:tc>
          <w:tcPr>
            <w:tcW w:type="dxa" w:w="3389"/>
            <w:vAlign w:val="top"/>
          </w:tcPr>
          <w:p>
            <w:r>
              <w:t>Credits, routing, caching, open/self-hosted models при объёме.</w:t>
            </w:r>
          </w:p>
        </w:tc>
      </w:tr>
      <w:tr>
        <w:tc>
          <w:tcPr>
            <w:tcW w:type="dxa" w:w="3389"/>
            <w:vAlign w:val="top"/>
          </w:tcPr>
          <w:p>
            <w:r>
              <w:t>Сложность CAD kernel</w:t>
            </w:r>
          </w:p>
        </w:tc>
        <w:tc>
          <w:tcPr>
            <w:tcW w:type="dxa" w:w="3389"/>
            <w:vAlign w:val="top"/>
          </w:tcPr>
          <w:p>
            <w:r>
              <w:t>Высокое/Высокое</w:t>
            </w:r>
          </w:p>
        </w:tc>
        <w:tc>
          <w:tcPr>
            <w:tcW w:type="dxa" w:w="3389"/>
            <w:vAlign w:val="top"/>
          </w:tcPr>
          <w:p>
            <w:r>
              <w:t>Early spike и ограниченный operation set.</w:t>
            </w:r>
          </w:p>
        </w:tc>
      </w:tr>
      <w:tr>
        <w:tc>
          <w:tcPr>
            <w:tcW w:type="dxa" w:w="3389"/>
            <w:vAlign w:val="top"/>
          </w:tcPr>
          <w:p>
            <w:r>
              <w:t>Marketplace cold start</w:t>
            </w:r>
          </w:p>
        </w:tc>
        <w:tc>
          <w:tcPr>
            <w:tcW w:type="dxa" w:w="3389"/>
            <w:vAlign w:val="top"/>
          </w:tcPr>
          <w:p>
            <w:r>
              <w:t>Высокое/Среднее</w:t>
            </w:r>
          </w:p>
        </w:tc>
        <w:tc>
          <w:tcPr>
            <w:tcW w:type="dxa" w:w="3389"/>
            <w:vAlign w:val="top"/>
          </w:tcPr>
          <w:p>
            <w:r>
              <w:t>Seed catalog + creator program.</w:t>
            </w:r>
          </w:p>
        </w:tc>
      </w:tr>
      <w:tr>
        <w:tc>
          <w:tcPr>
            <w:tcW w:type="dxa" w:w="3389"/>
            <w:vAlign w:val="top"/>
          </w:tcPr>
          <w:p>
            <w:r>
              <w:t>Ответственность за физические детали</w:t>
            </w:r>
          </w:p>
        </w:tc>
        <w:tc>
          <w:tcPr>
            <w:tcW w:type="dxa" w:w="3389"/>
            <w:vAlign w:val="top"/>
          </w:tcPr>
          <w:p>
            <w:r>
              <w:t>Среднее/Высокое</w:t>
            </w:r>
          </w:p>
        </w:tc>
        <w:tc>
          <w:tcPr>
            <w:tcW w:type="dxa" w:w="3389"/>
            <w:vAlign w:val="top"/>
          </w:tcPr>
          <w:p>
            <w:r>
              <w:t>Disclaimers, category policy, confidence, professional-use boundaries.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Risk / Legal / Data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