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0E7" w:rsidRPr="001B5339" w:rsidRDefault="00A750E7" w:rsidP="00A750E7">
      <w:pPr>
        <w:widowControl w:val="0"/>
        <w:tabs>
          <w:tab w:val="left" w:pos="567"/>
        </w:tabs>
        <w:autoSpaceDE w:val="0"/>
        <w:autoSpaceDN w:val="0"/>
        <w:adjustRightInd w:val="0"/>
        <w:ind w:firstLine="284"/>
        <w:jc w:val="center"/>
        <w:rPr>
          <w:b/>
          <w:bCs/>
          <w:lang w:val="uk-UA"/>
        </w:rPr>
      </w:pPr>
      <w:r w:rsidRPr="001B5339">
        <w:rPr>
          <w:b/>
          <w:bCs/>
          <w:lang w:val="uk-UA"/>
        </w:rPr>
        <w:t>Шановні студенти вищих навчальних закладів!</w:t>
      </w:r>
    </w:p>
    <w:p w:rsidR="00A750E7" w:rsidRPr="001B5339" w:rsidRDefault="00A750E7" w:rsidP="00A750E7">
      <w:pPr>
        <w:tabs>
          <w:tab w:val="left" w:pos="567"/>
        </w:tabs>
        <w:ind w:firstLine="284"/>
        <w:jc w:val="center"/>
        <w:rPr>
          <w:lang w:val="uk-UA"/>
        </w:rPr>
      </w:pPr>
      <w:r w:rsidRPr="001B5339">
        <w:rPr>
          <w:lang w:val="uk-UA"/>
        </w:rPr>
        <w:t>Кафедра туризму Запорізького національного університету досліджує стан професійної підготовки майбутніх фахівців з туризму до анімаційної діяльності у вищих навчальних закладах України.</w:t>
      </w:r>
    </w:p>
    <w:p w:rsidR="00A750E7" w:rsidRDefault="00A750E7" w:rsidP="00A750E7">
      <w:pPr>
        <w:spacing w:line="360" w:lineRule="auto"/>
        <w:jc w:val="center"/>
        <w:rPr>
          <w:b/>
          <w:lang w:val="uk-UA"/>
        </w:rPr>
      </w:pPr>
    </w:p>
    <w:p w:rsidR="00A750E7" w:rsidRPr="001B5339" w:rsidRDefault="00A750E7" w:rsidP="00A750E7">
      <w:pPr>
        <w:spacing w:line="360" w:lineRule="auto"/>
        <w:jc w:val="center"/>
        <w:rPr>
          <w:b/>
          <w:lang w:val="uk-UA"/>
        </w:rPr>
      </w:pPr>
      <w:r w:rsidRPr="001B5339">
        <w:rPr>
          <w:b/>
          <w:lang w:val="uk-UA"/>
        </w:rPr>
        <w:t>КАРТКА ДЛЯ ОЦІНКИ РІВНЯ</w:t>
      </w:r>
      <w:r>
        <w:rPr>
          <w:b/>
          <w:lang w:val="uk-UA"/>
        </w:rPr>
        <w:t xml:space="preserve"> </w:t>
      </w:r>
      <w:r w:rsidRPr="001B5339">
        <w:rPr>
          <w:b/>
          <w:lang w:val="uk-UA"/>
        </w:rPr>
        <w:t>СФОРМОВАННОСТІ ДІЯЛЬНІСНОГО КОМПОНЕНТА</w:t>
      </w:r>
    </w:p>
    <w:p w:rsidR="00A750E7" w:rsidRPr="001B5339" w:rsidRDefault="00A750E7" w:rsidP="00A750E7">
      <w:pPr>
        <w:spacing w:line="360" w:lineRule="auto"/>
        <w:jc w:val="center"/>
        <w:rPr>
          <w:b/>
          <w:lang w:val="uk-UA"/>
        </w:rPr>
      </w:pPr>
      <w:proofErr w:type="spellStart"/>
      <w:r w:rsidRPr="001B5339">
        <w:rPr>
          <w:b/>
          <w:lang w:val="uk-UA"/>
        </w:rPr>
        <w:t>ПІБ</w:t>
      </w:r>
      <w:proofErr w:type="spellEnd"/>
      <w:r w:rsidRPr="001B5339">
        <w:rPr>
          <w:b/>
          <w:lang w:val="uk-UA"/>
        </w:rPr>
        <w:t>___________________________________________________________</w:t>
      </w:r>
    </w:p>
    <w:p w:rsidR="00A750E7" w:rsidRPr="004E5D42" w:rsidRDefault="00A750E7" w:rsidP="00A750E7">
      <w:pPr>
        <w:contextualSpacing/>
        <w:rPr>
          <w:sz w:val="24"/>
          <w:szCs w:val="24"/>
          <w:lang w:val="uk-UA"/>
        </w:rPr>
      </w:pPr>
      <w:r w:rsidRPr="00A750E7">
        <w:rPr>
          <w:sz w:val="24"/>
          <w:szCs w:val="24"/>
          <w:lang w:val="uk-UA"/>
        </w:rPr>
        <w:t>Оц</w:t>
      </w:r>
      <w:r>
        <w:rPr>
          <w:sz w:val="24"/>
          <w:szCs w:val="24"/>
          <w:lang w:val="uk-UA"/>
        </w:rPr>
        <w:t xml:space="preserve">ініть свої уміння в балах від 2 до 5, де 5 – вищий бал, 2 – низький бал. </w:t>
      </w:r>
      <w:proofErr w:type="spellStart"/>
      <w:r>
        <w:rPr>
          <w:sz w:val="24"/>
          <w:szCs w:val="24"/>
          <w:lang w:val="uk-UA"/>
        </w:rPr>
        <w:t>Поставте</w:t>
      </w:r>
      <w:proofErr w:type="spellEnd"/>
      <w:r>
        <w:rPr>
          <w:sz w:val="24"/>
          <w:szCs w:val="24"/>
          <w:lang w:val="uk-UA"/>
        </w:rPr>
        <w:t xml:space="preserve">  позначку у відповідній клітинці.</w:t>
      </w:r>
    </w:p>
    <w:tbl>
      <w:tblPr>
        <w:tblW w:w="1049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8"/>
        <w:gridCol w:w="850"/>
        <w:gridCol w:w="851"/>
        <w:gridCol w:w="850"/>
        <w:gridCol w:w="851"/>
      </w:tblGrid>
      <w:tr w:rsidR="00A750E7" w:rsidRPr="00A750E7" w:rsidTr="0010292A">
        <w:trPr>
          <w:trHeight w:val="370"/>
        </w:trPr>
        <w:tc>
          <w:tcPr>
            <w:tcW w:w="70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</w:t>
            </w:r>
            <w:r w:rsidRPr="00BF3E7B">
              <w:rPr>
                <w:sz w:val="24"/>
                <w:szCs w:val="24"/>
                <w:lang w:val="uk-UA"/>
              </w:rPr>
              <w:t>рофесійні уміння</w:t>
            </w:r>
          </w:p>
        </w:tc>
        <w:tc>
          <w:tcPr>
            <w:tcW w:w="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BF3E7B">
              <w:rPr>
                <w:sz w:val="24"/>
                <w:szCs w:val="24"/>
                <w:lang w:val="uk-UA"/>
              </w:rPr>
              <w:t>Самооцінка в балах</w:t>
            </w:r>
          </w:p>
        </w:tc>
      </w:tr>
      <w:tr w:rsidR="00A750E7" w:rsidRPr="00A750E7" w:rsidTr="0010292A">
        <w:trPr>
          <w:trHeight w:val="365"/>
        </w:trPr>
        <w:tc>
          <w:tcPr>
            <w:tcW w:w="70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A750E7" w:rsidRDefault="00A750E7" w:rsidP="00A14169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A750E7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ind w:right="-108"/>
              <w:contextualSpacing/>
              <w:jc w:val="center"/>
              <w:rPr>
                <w:iCs/>
                <w:color w:val="000000"/>
                <w:spacing w:val="2"/>
                <w:sz w:val="24"/>
                <w:szCs w:val="24"/>
                <w:lang w:val="uk-UA"/>
              </w:rPr>
            </w:pPr>
            <w:r w:rsidRPr="00A750E7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center"/>
              <w:rPr>
                <w:iCs/>
                <w:color w:val="000000"/>
                <w:spacing w:val="2"/>
                <w:sz w:val="24"/>
                <w:szCs w:val="24"/>
                <w:lang w:val="uk-UA"/>
              </w:rPr>
            </w:pPr>
            <w:r w:rsidRPr="00A750E7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A750E7" w:rsidRDefault="00A750E7" w:rsidP="00A14169">
            <w:pPr>
              <w:contextualSpacing/>
              <w:jc w:val="center"/>
              <w:rPr>
                <w:sz w:val="24"/>
                <w:szCs w:val="24"/>
                <w:lang w:val="uk-UA"/>
              </w:rPr>
            </w:pPr>
            <w:r w:rsidRPr="00A750E7">
              <w:rPr>
                <w:sz w:val="24"/>
                <w:szCs w:val="24"/>
                <w:lang w:val="uk-UA"/>
              </w:rPr>
              <w:t>2</w:t>
            </w:r>
          </w:p>
        </w:tc>
      </w:tr>
      <w:tr w:rsidR="00A750E7" w:rsidRPr="001B5339" w:rsidTr="0010292A">
        <w:trPr>
          <w:trHeight w:val="76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  <w:r w:rsidRPr="00A750E7">
              <w:rPr>
                <w:b/>
                <w:bCs/>
                <w:sz w:val="24"/>
                <w:szCs w:val="24"/>
                <w:lang w:val="uk-UA"/>
              </w:rPr>
              <w:t>1</w:t>
            </w:r>
            <w:r w:rsidRPr="00BF3E7B">
              <w:rPr>
                <w:bCs/>
                <w:sz w:val="24"/>
                <w:szCs w:val="24"/>
                <w:lang w:val="uk-UA"/>
              </w:rPr>
              <w:t>. Уміння організовувати і проводити змагання за різними видами спортивних та рухливих ігор.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55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bCs/>
                <w:sz w:val="24"/>
                <w:szCs w:val="24"/>
                <w:lang w:val="uk-UA"/>
              </w:rPr>
            </w:pPr>
            <w:r w:rsidRPr="00A750E7">
              <w:rPr>
                <w:b/>
                <w:bCs/>
                <w:sz w:val="24"/>
                <w:szCs w:val="24"/>
                <w:lang w:val="uk-UA"/>
              </w:rPr>
              <w:t>2</w:t>
            </w:r>
            <w:r w:rsidRPr="00BF3E7B">
              <w:rPr>
                <w:bCs/>
                <w:sz w:val="24"/>
                <w:szCs w:val="24"/>
                <w:lang w:val="uk-UA"/>
              </w:rPr>
              <w:t xml:space="preserve">. </w:t>
            </w:r>
            <w:r w:rsidRPr="00BF3E7B">
              <w:rPr>
                <w:sz w:val="24"/>
                <w:szCs w:val="24"/>
                <w:lang w:val="uk-UA"/>
              </w:rPr>
              <w:t xml:space="preserve">Уміння </w:t>
            </w:r>
            <w:r w:rsidRPr="00A750E7">
              <w:rPr>
                <w:rStyle w:val="FontStyle11"/>
                <w:rFonts w:ascii="Times New Roman" w:hAnsi="Times New Roman" w:cs="Times New Roman"/>
                <w:b w:val="0"/>
                <w:sz w:val="24"/>
                <w:szCs w:val="24"/>
                <w:lang w:val="uk-UA"/>
              </w:rPr>
              <w:t>вести у ролі ведучого спортивно-масові заходи</w:t>
            </w:r>
            <w:r w:rsidRPr="00BF3E7B">
              <w:rPr>
                <w:rStyle w:val="FontStyle11"/>
                <w:sz w:val="24"/>
                <w:szCs w:val="24"/>
                <w:lang w:val="uk-UA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707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bCs/>
                <w:sz w:val="24"/>
                <w:szCs w:val="24"/>
                <w:lang w:val="uk-UA"/>
              </w:rPr>
            </w:pPr>
            <w:r w:rsidRPr="00A750E7">
              <w:rPr>
                <w:b/>
                <w:bCs/>
                <w:sz w:val="24"/>
                <w:szCs w:val="24"/>
                <w:lang w:val="uk-UA"/>
              </w:rPr>
              <w:t>3</w:t>
            </w:r>
            <w:r w:rsidRPr="00BF3E7B">
              <w:rPr>
                <w:bCs/>
                <w:sz w:val="24"/>
                <w:szCs w:val="24"/>
                <w:lang w:val="uk-UA"/>
              </w:rPr>
              <w:t>.</w:t>
            </w:r>
            <w:r w:rsidRPr="00BF3E7B">
              <w:rPr>
                <w:sz w:val="24"/>
                <w:szCs w:val="24"/>
                <w:lang w:val="uk-UA"/>
              </w:rPr>
              <w:t xml:space="preserve">Уміння організовувати і проводити </w:t>
            </w:r>
            <w:proofErr w:type="spellStart"/>
            <w:r w:rsidRPr="00BF3E7B">
              <w:rPr>
                <w:sz w:val="24"/>
                <w:szCs w:val="24"/>
                <w:lang w:val="uk-UA"/>
              </w:rPr>
              <w:t>фізкльтурно</w:t>
            </w:r>
            <w:proofErr w:type="spellEnd"/>
            <w:r w:rsidRPr="00BF3E7B">
              <w:rPr>
                <w:sz w:val="24"/>
                <w:szCs w:val="24"/>
                <w:lang w:val="uk-UA"/>
              </w:rPr>
              <w:t xml:space="preserve">-оздоровчі свята та фестивалі у літніх </w:t>
            </w:r>
            <w:proofErr w:type="spellStart"/>
            <w:r w:rsidRPr="00BF3E7B">
              <w:rPr>
                <w:sz w:val="24"/>
                <w:szCs w:val="24"/>
                <w:lang w:val="uk-UA"/>
              </w:rPr>
              <w:t>дитячо</w:t>
            </w:r>
            <w:proofErr w:type="spellEnd"/>
            <w:r w:rsidRPr="00BF3E7B">
              <w:rPr>
                <w:sz w:val="24"/>
                <w:szCs w:val="24"/>
                <w:lang w:val="uk-UA"/>
              </w:rPr>
              <w:t>-оздоровчих таборах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583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  <w:r w:rsidRPr="00A750E7">
              <w:rPr>
                <w:b/>
                <w:sz w:val="24"/>
                <w:szCs w:val="24"/>
                <w:lang w:val="uk-UA"/>
              </w:rPr>
              <w:t>4</w:t>
            </w:r>
            <w:r w:rsidRPr="00BF3E7B">
              <w:rPr>
                <w:sz w:val="24"/>
                <w:szCs w:val="24"/>
                <w:lang w:val="uk-UA"/>
              </w:rPr>
              <w:t>.Уміння працювати в команді.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70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  <w:r w:rsidRPr="00A750E7">
              <w:rPr>
                <w:b/>
                <w:sz w:val="24"/>
                <w:szCs w:val="24"/>
                <w:lang w:val="uk-UA"/>
              </w:rPr>
              <w:t>5</w:t>
            </w:r>
            <w:r w:rsidRPr="00BF3E7B">
              <w:rPr>
                <w:sz w:val="24"/>
                <w:szCs w:val="24"/>
                <w:lang w:val="uk-UA"/>
              </w:rPr>
              <w:t xml:space="preserve">. </w:t>
            </w:r>
            <w:r w:rsidRPr="00BF3E7B">
              <w:rPr>
                <w:spacing w:val="0"/>
                <w:sz w:val="24"/>
                <w:szCs w:val="24"/>
                <w:lang w:val="uk-UA" w:eastAsia="uk-UA"/>
              </w:rPr>
              <w:t>Уміння організовувати спортивно-оздоровчу туристичну діяльність.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695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  <w:r w:rsidRPr="00A750E7">
              <w:rPr>
                <w:b/>
                <w:sz w:val="24"/>
                <w:szCs w:val="24"/>
                <w:lang w:val="uk-UA"/>
              </w:rPr>
              <w:t>6</w:t>
            </w:r>
            <w:r w:rsidRPr="00BF3E7B">
              <w:rPr>
                <w:sz w:val="24"/>
                <w:szCs w:val="24"/>
                <w:lang w:val="uk-UA"/>
              </w:rPr>
              <w:t xml:space="preserve">. Уміння </w:t>
            </w:r>
            <w:r w:rsidRPr="00BF3E7B">
              <w:rPr>
                <w:spacing w:val="0"/>
                <w:sz w:val="24"/>
                <w:szCs w:val="24"/>
                <w:lang w:val="uk-UA" w:eastAsia="uk-UA"/>
              </w:rPr>
              <w:t>використовувати під час професійної діяльності новітні досягнення, сучасні засоби та обладнання.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A750E7" w:rsidRPr="001B5339" w:rsidTr="0010292A">
        <w:trPr>
          <w:trHeight w:val="1041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pStyle w:val="Style1"/>
              <w:tabs>
                <w:tab w:val="left" w:pos="0"/>
              </w:tabs>
              <w:contextualSpacing/>
              <w:jc w:val="both"/>
              <w:rPr>
                <w:rFonts w:ascii="Times New Roman" w:hAnsi="Times New Roman"/>
                <w:bCs/>
                <w:lang w:val="uk-UA"/>
              </w:rPr>
            </w:pPr>
            <w:r w:rsidRPr="00A750E7">
              <w:rPr>
                <w:rStyle w:val="FontStyle11"/>
                <w:rFonts w:ascii="Times New Roman" w:hAnsi="Times New Roman"/>
                <w:lang w:val="uk-UA"/>
              </w:rPr>
              <w:t>7.</w:t>
            </w:r>
            <w:r w:rsidRPr="00BF3E7B">
              <w:rPr>
                <w:rStyle w:val="FontStyle11"/>
                <w:rFonts w:ascii="Times New Roman" w:hAnsi="Times New Roman"/>
                <w:lang w:val="uk-UA"/>
              </w:rPr>
              <w:t xml:space="preserve"> </w:t>
            </w:r>
            <w:r w:rsidRPr="00BF3E7B">
              <w:rPr>
                <w:rFonts w:ascii="Times New Roman" w:hAnsi="Times New Roman"/>
                <w:lang w:val="uk-UA" w:eastAsia="uk-UA"/>
              </w:rPr>
              <w:t>Уміння організовувати спортивно-оздоровчу діяльність з позиції сучасних досягнень психолого-педагогічної науки та практики, розробляти індивідуальні та групові програми для різних груп населення.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A750E7" w:rsidRPr="001B5339" w:rsidTr="0010292A">
        <w:trPr>
          <w:trHeight w:val="388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tabs>
                <w:tab w:val="left" w:pos="540"/>
              </w:tabs>
              <w:contextualSpacing/>
              <w:jc w:val="both"/>
              <w:rPr>
                <w:sz w:val="24"/>
                <w:szCs w:val="24"/>
                <w:lang w:val="uk-UA"/>
              </w:rPr>
            </w:pPr>
            <w:r w:rsidRPr="00BF3E7B">
              <w:rPr>
                <w:rStyle w:val="FontStyle11"/>
                <w:sz w:val="24"/>
                <w:szCs w:val="24"/>
                <w:lang w:val="uk-UA"/>
              </w:rPr>
              <w:t xml:space="preserve">8. </w:t>
            </w:r>
            <w:r w:rsidRPr="00BF3E7B">
              <w:rPr>
                <w:spacing w:val="0"/>
                <w:sz w:val="24"/>
                <w:szCs w:val="24"/>
                <w:lang w:val="uk-UA" w:eastAsia="uk-UA"/>
              </w:rPr>
              <w:t xml:space="preserve">Уміння розробляти, організовувати та проводити видовищно-розважальні заходи, використовувати на практиці знання з рекреації, мистецтвознавства, культурології.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169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  <w:r w:rsidRPr="00BF3E7B">
              <w:rPr>
                <w:rStyle w:val="FontStyle11"/>
                <w:sz w:val="24"/>
                <w:szCs w:val="24"/>
                <w:lang w:val="uk-UA"/>
              </w:rPr>
              <w:t xml:space="preserve">9. </w:t>
            </w:r>
            <w:r w:rsidRPr="00BF3E7B">
              <w:rPr>
                <w:spacing w:val="0"/>
                <w:sz w:val="24"/>
                <w:szCs w:val="24"/>
                <w:lang w:val="uk-UA" w:eastAsia="uk-UA"/>
              </w:rPr>
              <w:t>Уміння визначати загальні</w:t>
            </w:r>
            <w:r w:rsidRPr="00BF3E7B">
              <w:rPr>
                <w:color w:val="FF0000"/>
                <w:spacing w:val="0"/>
                <w:sz w:val="24"/>
                <w:szCs w:val="24"/>
                <w:lang w:val="uk-UA" w:eastAsia="uk-UA"/>
              </w:rPr>
              <w:t>,</w:t>
            </w:r>
            <w:r w:rsidR="000E36A5">
              <w:rPr>
                <w:color w:val="FF0000"/>
                <w:spacing w:val="0"/>
                <w:sz w:val="24"/>
                <w:szCs w:val="24"/>
                <w:lang w:val="uk-UA" w:eastAsia="uk-UA"/>
              </w:rPr>
              <w:t xml:space="preserve"> </w:t>
            </w:r>
            <w:r w:rsidRPr="00BF3E7B">
              <w:rPr>
                <w:spacing w:val="0"/>
                <w:sz w:val="24"/>
                <w:szCs w:val="24"/>
                <w:lang w:val="uk-UA" w:eastAsia="uk-UA"/>
              </w:rPr>
              <w:t xml:space="preserve">певні цілі та завдання щодо екскурсійної діяльності, проводити методико-екскурсійну роботу, конструювати цикли </w:t>
            </w:r>
            <w:proofErr w:type="spellStart"/>
            <w:r w:rsidRPr="00BF3E7B">
              <w:rPr>
                <w:spacing w:val="0"/>
                <w:sz w:val="24"/>
                <w:szCs w:val="24"/>
                <w:lang w:val="uk-UA" w:eastAsia="uk-UA"/>
              </w:rPr>
              <w:t>музейно</w:t>
            </w:r>
            <w:proofErr w:type="spellEnd"/>
            <w:r w:rsidRPr="00BF3E7B">
              <w:rPr>
                <w:spacing w:val="0"/>
                <w:sz w:val="24"/>
                <w:szCs w:val="24"/>
                <w:lang w:val="uk-UA" w:eastAsia="uk-UA"/>
              </w:rPr>
              <w:t>-екскурсійного обслуговування, складати програми туристичної екскурсійної діяльності.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630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pStyle w:val="Style1"/>
              <w:contextualSpacing/>
              <w:jc w:val="both"/>
              <w:rPr>
                <w:rFonts w:ascii="Times New Roman" w:hAnsi="Times New Roman"/>
                <w:b/>
                <w:bCs/>
                <w:lang w:val="uk-UA"/>
              </w:rPr>
            </w:pPr>
            <w:r w:rsidRPr="00BF3E7B">
              <w:rPr>
                <w:rStyle w:val="FontStyle11"/>
                <w:rFonts w:ascii="Times New Roman" w:hAnsi="Times New Roman"/>
                <w:lang w:val="uk-UA"/>
              </w:rPr>
              <w:t>10.</w:t>
            </w:r>
            <w:r w:rsidRPr="00BF3E7B">
              <w:rPr>
                <w:rFonts w:ascii="Times New Roman" w:hAnsi="Times New Roman"/>
                <w:lang w:val="uk-UA"/>
              </w:rPr>
              <w:t>Уміння проводити заняття з різних видів аеробіки.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696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pStyle w:val="Style1"/>
              <w:contextualSpacing/>
              <w:jc w:val="both"/>
              <w:rPr>
                <w:rStyle w:val="FontStyle11"/>
                <w:rFonts w:ascii="Times New Roman" w:hAnsi="Times New Roman"/>
                <w:b w:val="0"/>
                <w:lang w:val="uk-UA"/>
              </w:rPr>
            </w:pPr>
            <w:r w:rsidRPr="00BF3E7B">
              <w:rPr>
                <w:rStyle w:val="FontStyle11"/>
                <w:rFonts w:ascii="Times New Roman" w:hAnsi="Times New Roman"/>
                <w:lang w:val="uk-UA"/>
              </w:rPr>
              <w:t>11.</w:t>
            </w:r>
            <w:r w:rsidRPr="00BF3E7B">
              <w:rPr>
                <w:rFonts w:ascii="Times New Roman" w:hAnsi="Times New Roman"/>
                <w:lang w:val="uk-UA"/>
              </w:rPr>
              <w:t>Уміння вільно спілкуватися іноземною мовою.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A750E7" w:rsidRPr="001B5339" w:rsidTr="0010292A">
        <w:trPr>
          <w:trHeight w:val="706"/>
        </w:trPr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50E7" w:rsidRPr="00BF3E7B" w:rsidRDefault="00A750E7" w:rsidP="00A14169">
            <w:pPr>
              <w:pStyle w:val="Style1"/>
              <w:contextualSpacing/>
              <w:jc w:val="both"/>
              <w:rPr>
                <w:rStyle w:val="FontStyle11"/>
                <w:rFonts w:ascii="Times New Roman" w:hAnsi="Times New Roman"/>
                <w:b w:val="0"/>
                <w:lang w:val="uk-UA"/>
              </w:rPr>
            </w:pPr>
            <w:r w:rsidRPr="00BF3E7B">
              <w:rPr>
                <w:rStyle w:val="FontStyle11"/>
                <w:rFonts w:ascii="Times New Roman" w:hAnsi="Times New Roman"/>
                <w:lang w:val="uk-UA"/>
              </w:rPr>
              <w:t xml:space="preserve">12. </w:t>
            </w:r>
            <w:r w:rsidRPr="00A750E7">
              <w:rPr>
                <w:rStyle w:val="FontStyle11"/>
                <w:rFonts w:ascii="Times New Roman" w:hAnsi="Times New Roman"/>
                <w:b w:val="0"/>
                <w:lang w:val="uk-UA"/>
              </w:rPr>
              <w:t>Уміння працювати з різними віковими групами туристів.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0E7" w:rsidRPr="00BF3E7B" w:rsidRDefault="00A750E7" w:rsidP="00A14169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A750E7" w:rsidRDefault="00A750E7" w:rsidP="00A750E7">
      <w:pPr>
        <w:contextualSpacing/>
        <w:rPr>
          <w:sz w:val="24"/>
          <w:szCs w:val="24"/>
          <w:lang w:val="uk-UA"/>
        </w:rPr>
      </w:pPr>
    </w:p>
    <w:p w:rsidR="00707845" w:rsidRDefault="00707845" w:rsidP="0010292A">
      <w:pPr>
        <w:ind w:left="-567" w:firstLine="567"/>
        <w:rPr>
          <w:lang w:val="uk-UA"/>
        </w:rPr>
      </w:pPr>
    </w:p>
    <w:p w:rsidR="00707845" w:rsidRPr="00707845" w:rsidRDefault="00707845" w:rsidP="0010292A">
      <w:pPr>
        <w:ind w:left="-567" w:firstLine="567"/>
        <w:rPr>
          <w:b/>
          <w:lang w:val="uk-UA"/>
        </w:rPr>
      </w:pPr>
      <w:bookmarkStart w:id="0" w:name="_GoBack"/>
      <w:r w:rsidRPr="00707845">
        <w:rPr>
          <w:b/>
          <w:lang w:val="uk-UA"/>
        </w:rPr>
        <w:lastRenderedPageBreak/>
        <w:t>Ключ до обробки тесту на визначення сформованості діяльнісного компонента готовності до анімаційної діяльності.</w:t>
      </w:r>
    </w:p>
    <w:bookmarkEnd w:id="0"/>
    <w:p w:rsidR="00185569" w:rsidRDefault="00A750E7" w:rsidP="0010292A">
      <w:pPr>
        <w:ind w:left="-567" w:firstLine="567"/>
        <w:rPr>
          <w:lang w:val="uk-UA"/>
        </w:rPr>
      </w:pPr>
      <w:r>
        <w:rPr>
          <w:lang w:val="uk-UA"/>
        </w:rPr>
        <w:t xml:space="preserve">Даний тест має визначити  рівень сформованості знань, умінь та навичок з анімаційної діяльності. </w:t>
      </w:r>
    </w:p>
    <w:p w:rsidR="00A750E7" w:rsidRDefault="00A750E7" w:rsidP="0010292A">
      <w:pPr>
        <w:ind w:left="-567" w:firstLine="567"/>
        <w:rPr>
          <w:lang w:val="uk-UA"/>
        </w:rPr>
      </w:pPr>
      <w:r>
        <w:rPr>
          <w:lang w:val="uk-UA"/>
        </w:rPr>
        <w:t>Кожна оцінка відповідає визначеному рівню сформованості умінь.</w:t>
      </w:r>
    </w:p>
    <w:p w:rsidR="00A750E7" w:rsidRDefault="000E36A5" w:rsidP="0010292A">
      <w:pPr>
        <w:ind w:left="-567" w:firstLine="567"/>
        <w:rPr>
          <w:lang w:val="uk-UA"/>
        </w:rPr>
      </w:pPr>
      <w:r w:rsidRPr="00235769">
        <w:rPr>
          <w:lang w:val="uk-UA"/>
        </w:rPr>
        <w:t xml:space="preserve">Якщо </w:t>
      </w:r>
      <w:r w:rsidR="00235769" w:rsidRPr="00235769">
        <w:rPr>
          <w:lang w:val="uk-UA"/>
        </w:rPr>
        <w:t xml:space="preserve">оцінка </w:t>
      </w:r>
      <w:r w:rsidR="00A750E7" w:rsidRPr="00235769">
        <w:rPr>
          <w:b/>
          <w:lang w:val="uk-UA"/>
        </w:rPr>
        <w:t>5</w:t>
      </w:r>
      <w:r w:rsidR="00235769" w:rsidRPr="00235769">
        <w:rPr>
          <w:lang w:val="uk-UA"/>
        </w:rPr>
        <w:t xml:space="preserve"> та </w:t>
      </w:r>
      <w:r w:rsidR="00235769" w:rsidRPr="00235769">
        <w:rPr>
          <w:b/>
          <w:lang w:val="uk-UA"/>
        </w:rPr>
        <w:t>4</w:t>
      </w:r>
      <w:r w:rsidR="00235769" w:rsidRPr="00235769">
        <w:rPr>
          <w:lang w:val="uk-UA"/>
        </w:rPr>
        <w:t xml:space="preserve"> зустрічається 8 і більше разів, це</w:t>
      </w:r>
      <w:r w:rsidR="00A750E7" w:rsidRPr="0010292A">
        <w:rPr>
          <w:b/>
          <w:lang w:val="uk-UA"/>
        </w:rPr>
        <w:t xml:space="preserve"> </w:t>
      </w:r>
      <w:r w:rsidR="00235769">
        <w:rPr>
          <w:lang w:val="uk-UA"/>
        </w:rPr>
        <w:t>високий рівень. Р</w:t>
      </w:r>
      <w:r w:rsidR="00A750E7">
        <w:rPr>
          <w:lang w:val="uk-UA"/>
        </w:rPr>
        <w:t>івень повної готовності до анімаційної діяльності, який дозволяє конкурувати на ринку праці.</w:t>
      </w:r>
      <w:r w:rsidR="00235769">
        <w:rPr>
          <w:lang w:val="uk-UA"/>
        </w:rPr>
        <w:t xml:space="preserve"> Якщо 6-7 разів</w:t>
      </w:r>
      <w:r w:rsidR="00A750E7" w:rsidRPr="0010292A">
        <w:rPr>
          <w:b/>
          <w:lang w:val="uk-UA"/>
        </w:rPr>
        <w:t xml:space="preserve"> </w:t>
      </w:r>
      <w:r w:rsidR="00A750E7">
        <w:rPr>
          <w:lang w:val="uk-UA"/>
        </w:rPr>
        <w:t xml:space="preserve">– достатній рівень. Це рівень </w:t>
      </w:r>
      <w:r w:rsidR="00A750E7" w:rsidRPr="003A59C5">
        <w:rPr>
          <w:i/>
          <w:lang w:val="uk-UA"/>
        </w:rPr>
        <w:t>середньої готовності</w:t>
      </w:r>
      <w:r w:rsidR="00A750E7">
        <w:rPr>
          <w:i/>
          <w:lang w:val="uk-UA"/>
        </w:rPr>
        <w:t xml:space="preserve">, </w:t>
      </w:r>
      <w:r w:rsidR="00A750E7">
        <w:rPr>
          <w:lang w:val="uk-UA"/>
        </w:rPr>
        <w:t>але він вже дозволяє фахівці з анімаційної діяльності конкурувати на ринку праці.</w:t>
      </w:r>
      <w:r w:rsidR="00235769">
        <w:rPr>
          <w:lang w:val="uk-UA"/>
        </w:rPr>
        <w:t xml:space="preserve"> Якщо 4-6- разів</w:t>
      </w:r>
      <w:r w:rsidR="00235769">
        <w:rPr>
          <w:b/>
          <w:lang w:val="uk-UA"/>
        </w:rPr>
        <w:t xml:space="preserve"> </w:t>
      </w:r>
      <w:r w:rsidR="00A750E7">
        <w:rPr>
          <w:lang w:val="uk-UA"/>
        </w:rPr>
        <w:t xml:space="preserve">– допустимий рівень. На цьому рівні сформована </w:t>
      </w:r>
      <w:r w:rsidR="00A750E7" w:rsidRPr="00BC75DE">
        <w:rPr>
          <w:i/>
          <w:lang w:val="uk-UA"/>
        </w:rPr>
        <w:t>мінімальна готовність</w:t>
      </w:r>
      <w:r w:rsidR="00A750E7">
        <w:rPr>
          <w:i/>
          <w:lang w:val="uk-UA"/>
        </w:rPr>
        <w:t xml:space="preserve">, </w:t>
      </w:r>
      <w:r w:rsidR="00A750E7">
        <w:rPr>
          <w:lang w:val="uk-UA"/>
        </w:rPr>
        <w:t>яка є недостатньою для конкурування на ринку праці.</w:t>
      </w:r>
      <w:r w:rsidR="00235769">
        <w:rPr>
          <w:lang w:val="uk-UA"/>
        </w:rPr>
        <w:t xml:space="preserve"> Якщо оцінка </w:t>
      </w:r>
      <w:r w:rsidR="00235769" w:rsidRPr="00235769">
        <w:rPr>
          <w:b/>
          <w:lang w:val="uk-UA"/>
        </w:rPr>
        <w:t>5</w:t>
      </w:r>
      <w:r w:rsidR="00235769">
        <w:rPr>
          <w:lang w:val="uk-UA"/>
        </w:rPr>
        <w:t xml:space="preserve"> або </w:t>
      </w:r>
      <w:r w:rsidR="00235769" w:rsidRPr="00235769">
        <w:rPr>
          <w:b/>
          <w:lang w:val="uk-UA"/>
        </w:rPr>
        <w:t>4</w:t>
      </w:r>
      <w:r w:rsidR="00235769">
        <w:rPr>
          <w:lang w:val="uk-UA"/>
        </w:rPr>
        <w:t xml:space="preserve"> зустрічається менше 4 разів,</w:t>
      </w:r>
      <w:r w:rsidR="00A750E7">
        <w:rPr>
          <w:lang w:val="uk-UA"/>
        </w:rPr>
        <w:t xml:space="preserve"> рівень</w:t>
      </w:r>
      <w:r w:rsidR="00235769">
        <w:rPr>
          <w:lang w:val="uk-UA"/>
        </w:rPr>
        <w:t xml:space="preserve"> є недопустимим</w:t>
      </w:r>
      <w:r w:rsidR="00A750E7">
        <w:rPr>
          <w:lang w:val="uk-UA"/>
        </w:rPr>
        <w:t xml:space="preserve">. Цей рівень кваліфікується як </w:t>
      </w:r>
      <w:r w:rsidR="00A750E7" w:rsidRPr="00BC75DE">
        <w:rPr>
          <w:i/>
          <w:lang w:val="uk-UA"/>
        </w:rPr>
        <w:t>недопустимий</w:t>
      </w:r>
      <w:r w:rsidR="00A750E7">
        <w:rPr>
          <w:lang w:val="uk-UA"/>
        </w:rPr>
        <w:t xml:space="preserve"> для випускника вищого навчального закладу.</w:t>
      </w:r>
    </w:p>
    <w:p w:rsidR="00235769" w:rsidRDefault="00235769" w:rsidP="0010292A">
      <w:pPr>
        <w:ind w:left="-567" w:firstLine="567"/>
        <w:rPr>
          <w:lang w:val="uk-UA"/>
        </w:rPr>
      </w:pPr>
      <w:r>
        <w:rPr>
          <w:lang w:val="uk-UA"/>
        </w:rPr>
        <w:t xml:space="preserve">Оцінка </w:t>
      </w:r>
      <w:r w:rsidRPr="00235769">
        <w:rPr>
          <w:b/>
          <w:lang w:val="uk-UA"/>
        </w:rPr>
        <w:t>2</w:t>
      </w:r>
      <w:r>
        <w:rPr>
          <w:lang w:val="uk-UA"/>
        </w:rPr>
        <w:t xml:space="preserve"> або </w:t>
      </w:r>
      <w:r w:rsidRPr="00235769">
        <w:rPr>
          <w:b/>
          <w:lang w:val="uk-UA"/>
        </w:rPr>
        <w:t xml:space="preserve">3 </w:t>
      </w:r>
      <w:r>
        <w:rPr>
          <w:lang w:val="uk-UA"/>
        </w:rPr>
        <w:t xml:space="preserve">зустрічається 8 і більше разів – рівень не допустимий. 5-7 разів – рівень допустимий. 3-5 разів – достатній рівень .  Оцінка </w:t>
      </w:r>
      <w:r w:rsidRPr="00235769">
        <w:rPr>
          <w:b/>
          <w:lang w:val="uk-UA"/>
        </w:rPr>
        <w:t>2</w:t>
      </w:r>
      <w:r>
        <w:rPr>
          <w:lang w:val="uk-UA"/>
        </w:rPr>
        <w:t xml:space="preserve"> або </w:t>
      </w:r>
      <w:r w:rsidRPr="00235769">
        <w:rPr>
          <w:b/>
          <w:lang w:val="uk-UA"/>
        </w:rPr>
        <w:t xml:space="preserve">3 </w:t>
      </w:r>
      <w:r>
        <w:rPr>
          <w:lang w:val="uk-UA"/>
        </w:rPr>
        <w:t>зустрічається 1-3 рази – високий рівень готовності до анімаційної діяльності.</w:t>
      </w:r>
    </w:p>
    <w:p w:rsidR="00235769" w:rsidRPr="00235769" w:rsidRDefault="00235769" w:rsidP="00235769">
      <w:pPr>
        <w:spacing w:after="120"/>
        <w:jc w:val="center"/>
        <w:rPr>
          <w:rFonts w:eastAsia="Calibri"/>
          <w:b/>
          <w:bCs/>
          <w:spacing w:val="0"/>
          <w:szCs w:val="24"/>
          <w:lang w:val="uk-UA"/>
        </w:rPr>
      </w:pPr>
    </w:p>
    <w:tbl>
      <w:tblPr>
        <w:tblW w:w="11069" w:type="dxa"/>
        <w:jc w:val="center"/>
        <w:tblInd w:w="-3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3686"/>
        <w:gridCol w:w="1701"/>
        <w:gridCol w:w="1559"/>
        <w:gridCol w:w="3260"/>
      </w:tblGrid>
      <w:tr w:rsidR="00235769" w:rsidRPr="00235769" w:rsidTr="00235769">
        <w:trPr>
          <w:cantSplit/>
          <w:trHeight w:val="560"/>
          <w:jc w:val="center"/>
        </w:trPr>
        <w:tc>
          <w:tcPr>
            <w:tcW w:w="863" w:type="dxa"/>
            <w:vMerge w:val="restart"/>
          </w:tcPr>
          <w:p w:rsidR="00235769" w:rsidRPr="00235769" w:rsidRDefault="00235769" w:rsidP="00235769">
            <w:pPr>
              <w:keepNext/>
              <w:jc w:val="center"/>
              <w:outlineLvl w:val="1"/>
              <w:rPr>
                <w:rFonts w:eastAsia="Calibri"/>
                <w:b/>
                <w:bCs/>
                <w:iCs/>
                <w:caps/>
                <w:spacing w:val="0"/>
                <w:sz w:val="22"/>
                <w:szCs w:val="22"/>
              </w:rPr>
            </w:pPr>
            <w:r w:rsidRPr="00235769">
              <w:rPr>
                <w:rFonts w:eastAsia="Calibri"/>
                <w:b/>
                <w:bCs/>
                <w:iCs/>
                <w:caps/>
                <w:spacing w:val="0"/>
                <w:sz w:val="22"/>
                <w:szCs w:val="22"/>
              </w:rPr>
              <w:t>За шкалою</w:t>
            </w:r>
          </w:p>
          <w:p w:rsidR="00235769" w:rsidRPr="00235769" w:rsidRDefault="00235769" w:rsidP="00235769">
            <w:pPr>
              <w:jc w:val="center"/>
              <w:outlineLvl w:val="5"/>
              <w:rPr>
                <w:b/>
                <w:bCs/>
                <w:spacing w:val="0"/>
                <w:sz w:val="22"/>
                <w:szCs w:val="22"/>
              </w:rPr>
            </w:pPr>
            <w:proofErr w:type="spellStart"/>
            <w:r w:rsidRPr="00235769">
              <w:rPr>
                <w:b/>
                <w:bCs/>
                <w:spacing w:val="0"/>
                <w:sz w:val="22"/>
                <w:szCs w:val="22"/>
              </w:rPr>
              <w:t>ECTS</w:t>
            </w:r>
            <w:proofErr w:type="spellEnd"/>
          </w:p>
        </w:tc>
        <w:tc>
          <w:tcPr>
            <w:tcW w:w="3686" w:type="dxa"/>
            <w:vMerge w:val="restart"/>
          </w:tcPr>
          <w:p w:rsidR="00235769" w:rsidRPr="00235769" w:rsidRDefault="00235769" w:rsidP="00235769">
            <w:pPr>
              <w:ind w:right="-108"/>
              <w:jc w:val="center"/>
              <w:outlineLvl w:val="4"/>
              <w:rPr>
                <w:b/>
                <w:bCs/>
                <w:iCs/>
                <w:spacing w:val="0"/>
                <w:sz w:val="22"/>
                <w:szCs w:val="22"/>
              </w:rPr>
            </w:pPr>
            <w:r w:rsidRPr="00235769">
              <w:rPr>
                <w:b/>
                <w:bCs/>
                <w:iCs/>
                <w:spacing w:val="0"/>
                <w:sz w:val="22"/>
                <w:szCs w:val="22"/>
              </w:rPr>
              <w:t>За шкалою</w:t>
            </w:r>
          </w:p>
          <w:p w:rsidR="00235769" w:rsidRPr="00235769" w:rsidRDefault="00235769" w:rsidP="00235769">
            <w:pPr>
              <w:jc w:val="center"/>
              <w:rPr>
                <w:rFonts w:eastAsia="Calibri"/>
                <w:b/>
                <w:spacing w:val="0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b/>
                <w:spacing w:val="0"/>
                <w:sz w:val="22"/>
                <w:szCs w:val="22"/>
                <w:lang w:val="uk-UA"/>
              </w:rPr>
              <w:t xml:space="preserve">   університету</w:t>
            </w:r>
          </w:p>
        </w:tc>
        <w:tc>
          <w:tcPr>
            <w:tcW w:w="3260" w:type="dxa"/>
            <w:gridSpan w:val="2"/>
          </w:tcPr>
          <w:p w:rsidR="00235769" w:rsidRPr="00235769" w:rsidRDefault="00235769" w:rsidP="00235769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  <w:r w:rsidRPr="00235769">
              <w:rPr>
                <w:b/>
                <w:bCs/>
                <w:spacing w:val="0"/>
                <w:sz w:val="22"/>
                <w:szCs w:val="22"/>
              </w:rPr>
              <w:t xml:space="preserve">За </w:t>
            </w:r>
            <w:proofErr w:type="spellStart"/>
            <w:r w:rsidRPr="00235769">
              <w:rPr>
                <w:b/>
                <w:bCs/>
                <w:spacing w:val="0"/>
                <w:sz w:val="22"/>
                <w:szCs w:val="22"/>
              </w:rPr>
              <w:t>національною</w:t>
            </w:r>
            <w:proofErr w:type="spellEnd"/>
            <w:r w:rsidRPr="00235769">
              <w:rPr>
                <w:b/>
                <w:bCs/>
                <w:spacing w:val="0"/>
                <w:sz w:val="22"/>
                <w:szCs w:val="22"/>
              </w:rPr>
              <w:t xml:space="preserve"> шкалою</w:t>
            </w:r>
          </w:p>
        </w:tc>
        <w:tc>
          <w:tcPr>
            <w:tcW w:w="3260" w:type="dxa"/>
            <w:vMerge w:val="restart"/>
          </w:tcPr>
          <w:p w:rsidR="00235769" w:rsidRPr="00235769" w:rsidRDefault="00235769" w:rsidP="00235769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b/>
                <w:bCs/>
                <w:spacing w:val="0"/>
                <w:sz w:val="22"/>
                <w:szCs w:val="22"/>
                <w:lang w:val="uk-UA"/>
              </w:rPr>
              <w:t>За рівнями готовності до анімаційної діяльності</w:t>
            </w:r>
          </w:p>
        </w:tc>
      </w:tr>
      <w:tr w:rsidR="00235769" w:rsidRPr="00235769" w:rsidTr="00235769">
        <w:trPr>
          <w:cantSplit/>
          <w:trHeight w:val="300"/>
          <w:jc w:val="center"/>
        </w:trPr>
        <w:tc>
          <w:tcPr>
            <w:tcW w:w="863" w:type="dxa"/>
            <w:vMerge/>
          </w:tcPr>
          <w:p w:rsidR="00235769" w:rsidRPr="00235769" w:rsidRDefault="00235769" w:rsidP="00235769">
            <w:pPr>
              <w:keepNext/>
              <w:spacing w:before="240" w:after="60"/>
              <w:outlineLvl w:val="1"/>
              <w:rPr>
                <w:rFonts w:ascii="Arial" w:eastAsia="Calibri" w:hAnsi="Arial" w:cs="Arial"/>
                <w:bCs/>
                <w:iCs/>
                <w:spacing w:val="0"/>
                <w:sz w:val="22"/>
                <w:szCs w:val="22"/>
              </w:rPr>
            </w:pPr>
          </w:p>
        </w:tc>
        <w:tc>
          <w:tcPr>
            <w:tcW w:w="3686" w:type="dxa"/>
            <w:vMerge/>
          </w:tcPr>
          <w:p w:rsidR="00235769" w:rsidRPr="00235769" w:rsidRDefault="00235769" w:rsidP="00235769">
            <w:pPr>
              <w:spacing w:before="240" w:after="60"/>
              <w:outlineLvl w:val="4"/>
              <w:rPr>
                <w:b/>
                <w:bCs/>
                <w:i/>
                <w:iCs/>
                <w:spacing w:val="0"/>
                <w:sz w:val="22"/>
                <w:szCs w:val="22"/>
              </w:rPr>
            </w:pPr>
          </w:p>
        </w:tc>
        <w:tc>
          <w:tcPr>
            <w:tcW w:w="1701" w:type="dxa"/>
          </w:tcPr>
          <w:p w:rsidR="00235769" w:rsidRPr="00235769" w:rsidRDefault="00235769" w:rsidP="00235769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  <w:proofErr w:type="spellStart"/>
            <w:r w:rsidRPr="00235769">
              <w:rPr>
                <w:b/>
                <w:bCs/>
                <w:spacing w:val="0"/>
                <w:sz w:val="22"/>
                <w:szCs w:val="22"/>
              </w:rPr>
              <w:t>Екзамен</w:t>
            </w:r>
            <w:proofErr w:type="spellEnd"/>
          </w:p>
        </w:tc>
        <w:tc>
          <w:tcPr>
            <w:tcW w:w="1559" w:type="dxa"/>
          </w:tcPr>
          <w:p w:rsidR="00235769" w:rsidRPr="00235769" w:rsidRDefault="00235769" w:rsidP="00235769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  <w:proofErr w:type="spellStart"/>
            <w:r w:rsidRPr="00235769">
              <w:rPr>
                <w:b/>
                <w:bCs/>
                <w:spacing w:val="0"/>
                <w:sz w:val="22"/>
                <w:szCs w:val="22"/>
              </w:rPr>
              <w:t>Залі</w:t>
            </w:r>
            <w:proofErr w:type="gramStart"/>
            <w:r w:rsidRPr="00235769">
              <w:rPr>
                <w:b/>
                <w:bCs/>
                <w:spacing w:val="0"/>
                <w:sz w:val="22"/>
                <w:szCs w:val="22"/>
              </w:rPr>
              <w:t>к</w:t>
            </w:r>
            <w:proofErr w:type="spellEnd"/>
            <w:proofErr w:type="gramEnd"/>
          </w:p>
        </w:tc>
        <w:tc>
          <w:tcPr>
            <w:tcW w:w="3260" w:type="dxa"/>
            <w:vMerge/>
          </w:tcPr>
          <w:p w:rsidR="00235769" w:rsidRPr="00235769" w:rsidRDefault="00235769" w:rsidP="00235769">
            <w:pPr>
              <w:keepNext/>
              <w:jc w:val="center"/>
              <w:outlineLvl w:val="2"/>
              <w:rPr>
                <w:b/>
                <w:bCs/>
                <w:spacing w:val="0"/>
                <w:sz w:val="22"/>
                <w:szCs w:val="22"/>
              </w:rPr>
            </w:pP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A</w:t>
            </w:r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90 – 100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(відмінно)</w:t>
            </w:r>
          </w:p>
        </w:tc>
        <w:tc>
          <w:tcPr>
            <w:tcW w:w="1701" w:type="dxa"/>
            <w:vAlign w:val="center"/>
          </w:tcPr>
          <w:p w:rsidR="00235769" w:rsidRPr="00235769" w:rsidRDefault="00235769" w:rsidP="00235769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</w:rPr>
            </w:pPr>
            <w:r w:rsidRPr="00235769">
              <w:rPr>
                <w:rFonts w:eastAsia="Calibri"/>
                <w:bCs/>
                <w:spacing w:val="0"/>
                <w:sz w:val="22"/>
                <w:szCs w:val="22"/>
              </w:rPr>
              <w:t>5 (</w:t>
            </w:r>
            <w:proofErr w:type="spellStart"/>
            <w:r w:rsidRPr="00235769">
              <w:rPr>
                <w:rFonts w:eastAsia="Calibri"/>
                <w:bCs/>
                <w:spacing w:val="0"/>
                <w:sz w:val="22"/>
                <w:szCs w:val="22"/>
              </w:rPr>
              <w:t>відмінно</w:t>
            </w:r>
            <w:proofErr w:type="spellEnd"/>
            <w:r w:rsidRPr="00235769">
              <w:rPr>
                <w:rFonts w:eastAsia="Calibri"/>
                <w:bCs/>
                <w:spacing w:val="0"/>
                <w:sz w:val="22"/>
                <w:szCs w:val="22"/>
              </w:rPr>
              <w:t>)</w:t>
            </w:r>
          </w:p>
        </w:tc>
        <w:tc>
          <w:tcPr>
            <w:tcW w:w="1559" w:type="dxa"/>
            <w:vMerge w:val="restart"/>
            <w:vAlign w:val="center"/>
          </w:tcPr>
          <w:p w:rsidR="00235769" w:rsidRPr="00235769" w:rsidRDefault="00235769" w:rsidP="00235769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</w:rPr>
            </w:pPr>
            <w:proofErr w:type="spellStart"/>
            <w:r w:rsidRPr="00235769">
              <w:rPr>
                <w:rFonts w:eastAsia="Calibri"/>
                <w:bCs/>
                <w:spacing w:val="0"/>
                <w:sz w:val="22"/>
                <w:szCs w:val="22"/>
              </w:rPr>
              <w:t>Зараховано</w:t>
            </w:r>
            <w:proofErr w:type="spellEnd"/>
          </w:p>
        </w:tc>
        <w:tc>
          <w:tcPr>
            <w:tcW w:w="3260" w:type="dxa"/>
          </w:tcPr>
          <w:p w:rsidR="00235769" w:rsidRPr="00235769" w:rsidRDefault="00235769" w:rsidP="00235769">
            <w:pPr>
              <w:keepNext/>
              <w:spacing w:before="240" w:after="60"/>
              <w:jc w:val="center"/>
              <w:outlineLvl w:val="3"/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</w:pPr>
            <w:r>
              <w:rPr>
                <w:rFonts w:eastAsia="Calibri"/>
                <w:bCs/>
                <w:spacing w:val="0"/>
                <w:sz w:val="22"/>
                <w:szCs w:val="22"/>
                <w:lang w:val="uk-UA"/>
              </w:rPr>
              <w:t>Високий рівень</w:t>
            </w: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B</w:t>
            </w:r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85 – 89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(дуже добре)</w:t>
            </w:r>
          </w:p>
        </w:tc>
        <w:tc>
          <w:tcPr>
            <w:tcW w:w="1701" w:type="dxa"/>
            <w:vMerge w:val="restart"/>
            <w:vAlign w:val="center"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4 (добре)</w:t>
            </w:r>
          </w:p>
        </w:tc>
        <w:tc>
          <w:tcPr>
            <w:tcW w:w="1559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3260" w:type="dxa"/>
            <w:vMerge w:val="restart"/>
          </w:tcPr>
          <w:p w:rsid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  <w:p w:rsid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  <w:t>Достатній рівень</w:t>
            </w: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C</w:t>
            </w:r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75 – 84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(добре)</w:t>
            </w:r>
          </w:p>
        </w:tc>
        <w:tc>
          <w:tcPr>
            <w:tcW w:w="1701" w:type="dxa"/>
            <w:vMerge/>
            <w:vAlign w:val="center"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559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3260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D</w:t>
            </w:r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70 – 74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 xml:space="preserve">(задовільно) </w:t>
            </w:r>
          </w:p>
        </w:tc>
        <w:tc>
          <w:tcPr>
            <w:tcW w:w="1701" w:type="dxa"/>
            <w:vMerge w:val="restart"/>
            <w:vAlign w:val="center"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3 (задовільно)</w:t>
            </w:r>
          </w:p>
        </w:tc>
        <w:tc>
          <w:tcPr>
            <w:tcW w:w="1559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3260" w:type="dxa"/>
            <w:vMerge w:val="restart"/>
          </w:tcPr>
          <w:p w:rsid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  <w:t>Допустимий рівень</w:t>
            </w: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E</w:t>
            </w:r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60 – 69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(достатньо)</w:t>
            </w:r>
          </w:p>
        </w:tc>
        <w:tc>
          <w:tcPr>
            <w:tcW w:w="1701" w:type="dxa"/>
            <w:vMerge/>
            <w:vAlign w:val="center"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559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3260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proofErr w:type="spellStart"/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FX</w:t>
            </w:r>
            <w:proofErr w:type="spellEnd"/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35 – 59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(незадовільно – з можливістю повторного складання)</w:t>
            </w:r>
          </w:p>
        </w:tc>
        <w:tc>
          <w:tcPr>
            <w:tcW w:w="1701" w:type="dxa"/>
            <w:vMerge w:val="restart"/>
            <w:vAlign w:val="center"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2 (незадовільно)</w:t>
            </w:r>
          </w:p>
        </w:tc>
        <w:tc>
          <w:tcPr>
            <w:tcW w:w="1559" w:type="dxa"/>
            <w:vMerge w:val="restart"/>
            <w:vAlign w:val="center"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Не зараховано</w:t>
            </w:r>
          </w:p>
        </w:tc>
        <w:tc>
          <w:tcPr>
            <w:tcW w:w="3260" w:type="dxa"/>
            <w:vMerge w:val="restart"/>
          </w:tcPr>
          <w:p w:rsid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</w:p>
          <w:p w:rsid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</w:p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</w:pPr>
            <w:r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Недопустимий рівень</w:t>
            </w:r>
          </w:p>
        </w:tc>
      </w:tr>
      <w:tr w:rsidR="00235769" w:rsidRPr="00235769" w:rsidTr="00235769">
        <w:trPr>
          <w:cantSplit/>
          <w:jc w:val="center"/>
        </w:trPr>
        <w:tc>
          <w:tcPr>
            <w:tcW w:w="863" w:type="dxa"/>
            <w:vAlign w:val="center"/>
          </w:tcPr>
          <w:p w:rsidR="00235769" w:rsidRPr="00235769" w:rsidRDefault="00235769" w:rsidP="00235769">
            <w:pPr>
              <w:ind w:right="-68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F</w:t>
            </w:r>
          </w:p>
        </w:tc>
        <w:tc>
          <w:tcPr>
            <w:tcW w:w="3686" w:type="dxa"/>
            <w:vAlign w:val="center"/>
          </w:tcPr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1 – 34</w:t>
            </w:r>
          </w:p>
          <w:p w:rsidR="00235769" w:rsidRPr="00235769" w:rsidRDefault="00235769" w:rsidP="00235769">
            <w:pPr>
              <w:ind w:right="223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  <w:r w:rsidRPr="00235769">
              <w:rPr>
                <w:rFonts w:eastAsia="Calibri"/>
                <w:color w:val="000000"/>
                <w:spacing w:val="-2"/>
                <w:sz w:val="22"/>
                <w:szCs w:val="22"/>
                <w:lang w:val="uk-UA"/>
              </w:rPr>
              <w:t>(незадовільно – з обов’язковим повторним курсом)</w:t>
            </w:r>
          </w:p>
        </w:tc>
        <w:tc>
          <w:tcPr>
            <w:tcW w:w="1701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1559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  <w:tc>
          <w:tcPr>
            <w:tcW w:w="3260" w:type="dxa"/>
            <w:vMerge/>
          </w:tcPr>
          <w:p w:rsidR="00235769" w:rsidRPr="00235769" w:rsidRDefault="00235769" w:rsidP="00235769">
            <w:pPr>
              <w:ind w:right="-54"/>
              <w:jc w:val="center"/>
              <w:rPr>
                <w:rFonts w:eastAsia="Calibri"/>
                <w:color w:val="000000"/>
                <w:spacing w:val="-2"/>
                <w:sz w:val="22"/>
                <w:szCs w:val="24"/>
                <w:lang w:val="uk-UA"/>
              </w:rPr>
            </w:pPr>
          </w:p>
        </w:tc>
      </w:tr>
    </w:tbl>
    <w:p w:rsidR="00235769" w:rsidRDefault="00235769">
      <w:pPr>
        <w:rPr>
          <w:lang w:val="uk-UA"/>
        </w:rPr>
      </w:pPr>
    </w:p>
    <w:p w:rsidR="00A03DF7" w:rsidRDefault="0010292A" w:rsidP="00A03DF7">
      <w:pPr>
        <w:spacing w:after="200"/>
        <w:ind w:left="-567" w:firstLine="567"/>
        <w:contextualSpacing/>
        <w:rPr>
          <w:rFonts w:eastAsiaTheme="minorHAnsi"/>
          <w:spacing w:val="0"/>
          <w:lang w:val="uk-UA" w:eastAsia="en-US"/>
        </w:rPr>
      </w:pPr>
      <w:r w:rsidRPr="0010292A">
        <w:rPr>
          <w:rFonts w:eastAsiaTheme="minorHAnsi"/>
          <w:b/>
          <w:spacing w:val="0"/>
          <w:lang w:val="uk-UA" w:eastAsia="en-US"/>
        </w:rPr>
        <w:t>Обробка результатів</w:t>
      </w:r>
      <w:r w:rsidR="00707845">
        <w:rPr>
          <w:rFonts w:eastAsiaTheme="minorHAnsi"/>
          <w:b/>
          <w:spacing w:val="0"/>
          <w:lang w:val="uk-UA" w:eastAsia="en-US"/>
        </w:rPr>
        <w:t xml:space="preserve"> тесту на визначення сформованості діяльнісного компонента готовності до анімаційної діяльності по всій вибірці дослідження.</w:t>
      </w:r>
      <w:r w:rsidRPr="0010292A">
        <w:rPr>
          <w:rFonts w:eastAsiaTheme="minorHAnsi"/>
          <w:spacing w:val="0"/>
          <w:lang w:val="uk-UA" w:eastAsia="en-US"/>
        </w:rPr>
        <w:t>. Підраховується середнє ариф</w:t>
      </w:r>
      <w:r>
        <w:rPr>
          <w:rFonts w:eastAsiaTheme="minorHAnsi"/>
          <w:spacing w:val="0"/>
          <w:lang w:val="uk-UA" w:eastAsia="en-US"/>
        </w:rPr>
        <w:t xml:space="preserve">метичне значення кожного уміння </w:t>
      </w:r>
      <w:r w:rsidRPr="0010292A">
        <w:rPr>
          <w:rFonts w:eastAsiaTheme="minorHAnsi"/>
          <w:spacing w:val="0"/>
          <w:lang w:val="uk-UA" w:eastAsia="en-US"/>
        </w:rPr>
        <w:t xml:space="preserve"> по всій вибірці дослідження та визначається середнє квадратичне (стандартне відхилення).</w:t>
      </w:r>
    </w:p>
    <w:p w:rsidR="00A750E7" w:rsidRDefault="0010292A" w:rsidP="00A03DF7">
      <w:pPr>
        <w:spacing w:after="200"/>
        <w:ind w:left="-567" w:firstLine="567"/>
        <w:contextualSpacing/>
        <w:rPr>
          <w:lang w:val="uk-UA"/>
        </w:rPr>
      </w:pPr>
      <w:r>
        <w:rPr>
          <w:lang w:val="uk-UA"/>
        </w:rPr>
        <w:t>Результати заносяться у форму 1.</w:t>
      </w:r>
    </w:p>
    <w:p w:rsidR="0010292A" w:rsidRPr="0010292A" w:rsidRDefault="0010292A" w:rsidP="00A03DF7">
      <w:pPr>
        <w:spacing w:after="200"/>
        <w:ind w:left="-567" w:firstLine="567"/>
        <w:contextualSpacing/>
        <w:rPr>
          <w:rFonts w:eastAsiaTheme="minorHAnsi"/>
          <w:b/>
          <w:spacing w:val="0"/>
          <w:lang w:val="uk-UA" w:eastAsia="en-US"/>
        </w:rPr>
      </w:pPr>
      <w:r w:rsidRPr="0010292A">
        <w:rPr>
          <w:rFonts w:eastAsiaTheme="minorHAnsi"/>
          <w:b/>
          <w:spacing w:val="0"/>
          <w:lang w:val="uk-UA" w:eastAsia="en-US"/>
        </w:rPr>
        <w:t>Форма 1.</w:t>
      </w:r>
    </w:p>
    <w:p w:rsidR="0010292A" w:rsidRPr="0010292A" w:rsidRDefault="0010292A" w:rsidP="00A03DF7">
      <w:pPr>
        <w:spacing w:after="200"/>
        <w:ind w:left="-567" w:firstLine="567"/>
        <w:contextualSpacing/>
        <w:rPr>
          <w:rFonts w:eastAsiaTheme="minorHAnsi"/>
          <w:spacing w:val="0"/>
          <w:lang w:val="uk-UA" w:eastAsia="en-US"/>
        </w:rPr>
      </w:pPr>
      <w:r w:rsidRPr="0010292A">
        <w:rPr>
          <w:rFonts w:eastAsiaTheme="minorHAnsi"/>
          <w:spacing w:val="0"/>
          <w:lang w:val="uk-UA" w:eastAsia="en-US"/>
        </w:rPr>
        <w:t xml:space="preserve">Назва досліджуваної вибірки </w:t>
      </w:r>
    </w:p>
    <w:p w:rsidR="0010292A" w:rsidRPr="0010292A" w:rsidRDefault="0010292A" w:rsidP="00A03DF7">
      <w:pPr>
        <w:spacing w:after="200"/>
        <w:ind w:left="-567" w:firstLine="567"/>
        <w:contextualSpacing/>
        <w:rPr>
          <w:rFonts w:eastAsiaTheme="minorHAnsi"/>
          <w:spacing w:val="0"/>
          <w:lang w:val="uk-UA" w:eastAsia="en-US"/>
        </w:rPr>
      </w:pPr>
      <w:r w:rsidRPr="0010292A">
        <w:rPr>
          <w:rFonts w:eastAsiaTheme="minorHAnsi"/>
          <w:spacing w:val="0"/>
          <w:lang w:val="uk-UA" w:eastAsia="en-US"/>
        </w:rPr>
        <w:t xml:space="preserve">Об’єм вибірної сукупності </w:t>
      </w:r>
    </w:p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2404"/>
        <w:gridCol w:w="564"/>
        <w:gridCol w:w="564"/>
        <w:gridCol w:w="564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10292A" w:rsidRPr="0010292A" w:rsidTr="0010292A">
        <w:tc>
          <w:tcPr>
            <w:tcW w:w="2411" w:type="dxa"/>
          </w:tcPr>
          <w:p w:rsidR="0010292A" w:rsidRPr="0010292A" w:rsidRDefault="0010292A" w:rsidP="0010292A">
            <w:pPr>
              <w:ind w:left="34"/>
              <w:jc w:val="both"/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</w:pPr>
            <w:r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  <w:lastRenderedPageBreak/>
              <w:t>Номер уміння</w:t>
            </w:r>
            <w:r w:rsidRPr="0010292A"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  <w:t xml:space="preserve"> за списком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1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2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3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4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5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6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7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8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9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10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11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jc w:val="center"/>
              <w:rPr>
                <w:rFonts w:eastAsiaTheme="minorHAnsi"/>
                <w:spacing w:val="0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lang w:val="uk-UA" w:eastAsia="en-US"/>
              </w:rPr>
              <w:t>12</w:t>
            </w:r>
          </w:p>
        </w:tc>
      </w:tr>
      <w:tr w:rsidR="0010292A" w:rsidRPr="0010292A" w:rsidTr="0010292A">
        <w:tc>
          <w:tcPr>
            <w:tcW w:w="2411" w:type="dxa"/>
          </w:tcPr>
          <w:p w:rsidR="0010292A" w:rsidRPr="0010292A" w:rsidRDefault="0010292A" w:rsidP="0010292A">
            <w:pPr>
              <w:ind w:left="34"/>
              <w:jc w:val="both"/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</w:pPr>
            <w:r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  <w:t>Середнє значення уміння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</w:tr>
      <w:tr w:rsidR="0010292A" w:rsidRPr="0010292A" w:rsidTr="0010292A">
        <w:tc>
          <w:tcPr>
            <w:tcW w:w="2411" w:type="dxa"/>
          </w:tcPr>
          <w:p w:rsidR="0010292A" w:rsidRPr="0010292A" w:rsidRDefault="0010292A" w:rsidP="0010292A">
            <w:pPr>
              <w:ind w:left="34"/>
              <w:jc w:val="both"/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</w:pPr>
            <w:r w:rsidRPr="0010292A">
              <w:rPr>
                <w:rFonts w:eastAsiaTheme="minorHAnsi"/>
                <w:spacing w:val="0"/>
                <w:sz w:val="24"/>
                <w:szCs w:val="24"/>
                <w:lang w:val="uk-UA" w:eastAsia="en-US"/>
              </w:rPr>
              <w:t>Стандартне відхилення</w:t>
            </w: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  <w:tc>
          <w:tcPr>
            <w:tcW w:w="567" w:type="dxa"/>
          </w:tcPr>
          <w:p w:rsidR="0010292A" w:rsidRPr="0010292A" w:rsidRDefault="0010292A" w:rsidP="0010292A">
            <w:pPr>
              <w:ind w:left="-567" w:firstLine="567"/>
              <w:rPr>
                <w:rFonts w:eastAsiaTheme="minorHAnsi"/>
                <w:spacing w:val="0"/>
                <w:lang w:val="uk-UA" w:eastAsia="en-US"/>
              </w:rPr>
            </w:pPr>
          </w:p>
        </w:tc>
      </w:tr>
    </w:tbl>
    <w:p w:rsidR="0010292A" w:rsidRPr="0010292A" w:rsidRDefault="0010292A" w:rsidP="0010292A">
      <w:pPr>
        <w:spacing w:after="200" w:line="276" w:lineRule="auto"/>
        <w:ind w:left="-567" w:firstLine="567"/>
        <w:rPr>
          <w:rFonts w:eastAsiaTheme="minorHAnsi"/>
          <w:spacing w:val="0"/>
          <w:lang w:val="uk-UA" w:eastAsia="en-US"/>
        </w:rPr>
      </w:pPr>
    </w:p>
    <w:p w:rsidR="0010292A" w:rsidRPr="00A750E7" w:rsidRDefault="0010292A">
      <w:pPr>
        <w:rPr>
          <w:lang w:val="uk-UA"/>
        </w:rPr>
      </w:pPr>
    </w:p>
    <w:sectPr w:rsidR="0010292A" w:rsidRPr="00A750E7" w:rsidSect="00235769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E7"/>
    <w:rsid w:val="00003993"/>
    <w:rsid w:val="00005B61"/>
    <w:rsid w:val="00007983"/>
    <w:rsid w:val="00053AFA"/>
    <w:rsid w:val="000812EC"/>
    <w:rsid w:val="00082CA7"/>
    <w:rsid w:val="00083611"/>
    <w:rsid w:val="00084B17"/>
    <w:rsid w:val="00086918"/>
    <w:rsid w:val="000939B4"/>
    <w:rsid w:val="000A0E88"/>
    <w:rsid w:val="000A37E1"/>
    <w:rsid w:val="000A4EDB"/>
    <w:rsid w:val="000B1E51"/>
    <w:rsid w:val="000C74BB"/>
    <w:rsid w:val="000D6069"/>
    <w:rsid w:val="000E1D05"/>
    <w:rsid w:val="000E29C8"/>
    <w:rsid w:val="000E36A5"/>
    <w:rsid w:val="000F3A02"/>
    <w:rsid w:val="0010292A"/>
    <w:rsid w:val="00107463"/>
    <w:rsid w:val="00136E59"/>
    <w:rsid w:val="001465C6"/>
    <w:rsid w:val="001662CB"/>
    <w:rsid w:val="001756F0"/>
    <w:rsid w:val="00181A4D"/>
    <w:rsid w:val="00185569"/>
    <w:rsid w:val="001927D9"/>
    <w:rsid w:val="001C334A"/>
    <w:rsid w:val="001C6B8D"/>
    <w:rsid w:val="001D27B4"/>
    <w:rsid w:val="001D2CAD"/>
    <w:rsid w:val="001D381C"/>
    <w:rsid w:val="001E77B5"/>
    <w:rsid w:val="001F65F8"/>
    <w:rsid w:val="00204AF1"/>
    <w:rsid w:val="002246D2"/>
    <w:rsid w:val="002315BD"/>
    <w:rsid w:val="00235769"/>
    <w:rsid w:val="00242203"/>
    <w:rsid w:val="00297557"/>
    <w:rsid w:val="002A2A60"/>
    <w:rsid w:val="002E11C1"/>
    <w:rsid w:val="002F3835"/>
    <w:rsid w:val="0030402C"/>
    <w:rsid w:val="00307FF5"/>
    <w:rsid w:val="00340D8A"/>
    <w:rsid w:val="00355C47"/>
    <w:rsid w:val="003567FB"/>
    <w:rsid w:val="0036136E"/>
    <w:rsid w:val="00366704"/>
    <w:rsid w:val="00376713"/>
    <w:rsid w:val="00376EE2"/>
    <w:rsid w:val="00387831"/>
    <w:rsid w:val="003972F5"/>
    <w:rsid w:val="003B67B6"/>
    <w:rsid w:val="003D30F5"/>
    <w:rsid w:val="003D61AF"/>
    <w:rsid w:val="003E3F7F"/>
    <w:rsid w:val="003E476D"/>
    <w:rsid w:val="003E6D6B"/>
    <w:rsid w:val="003F18D7"/>
    <w:rsid w:val="003F6CA1"/>
    <w:rsid w:val="00414B15"/>
    <w:rsid w:val="00416ABB"/>
    <w:rsid w:val="004203C8"/>
    <w:rsid w:val="00424F0D"/>
    <w:rsid w:val="004278D9"/>
    <w:rsid w:val="004456BA"/>
    <w:rsid w:val="0045062E"/>
    <w:rsid w:val="00452E60"/>
    <w:rsid w:val="00457072"/>
    <w:rsid w:val="00457A70"/>
    <w:rsid w:val="00465DBC"/>
    <w:rsid w:val="0047484C"/>
    <w:rsid w:val="00475F6D"/>
    <w:rsid w:val="00482BBC"/>
    <w:rsid w:val="00491669"/>
    <w:rsid w:val="004A2DD7"/>
    <w:rsid w:val="004A4716"/>
    <w:rsid w:val="004A7C58"/>
    <w:rsid w:val="004D1B67"/>
    <w:rsid w:val="004D332D"/>
    <w:rsid w:val="004E2A83"/>
    <w:rsid w:val="004F0761"/>
    <w:rsid w:val="004F1337"/>
    <w:rsid w:val="004F30F2"/>
    <w:rsid w:val="005205FA"/>
    <w:rsid w:val="005206EC"/>
    <w:rsid w:val="00521F6A"/>
    <w:rsid w:val="00531A33"/>
    <w:rsid w:val="00531D7E"/>
    <w:rsid w:val="00534228"/>
    <w:rsid w:val="0056202D"/>
    <w:rsid w:val="0057354A"/>
    <w:rsid w:val="005745B6"/>
    <w:rsid w:val="0058300E"/>
    <w:rsid w:val="005B6D10"/>
    <w:rsid w:val="005C0F13"/>
    <w:rsid w:val="005E6E3E"/>
    <w:rsid w:val="00602F36"/>
    <w:rsid w:val="0066025F"/>
    <w:rsid w:val="00681819"/>
    <w:rsid w:val="0068373E"/>
    <w:rsid w:val="006838DF"/>
    <w:rsid w:val="006A3691"/>
    <w:rsid w:val="006A4832"/>
    <w:rsid w:val="006D1214"/>
    <w:rsid w:val="006D76AC"/>
    <w:rsid w:val="006E1926"/>
    <w:rsid w:val="00707845"/>
    <w:rsid w:val="007225DA"/>
    <w:rsid w:val="007419F7"/>
    <w:rsid w:val="00743D0B"/>
    <w:rsid w:val="007933F7"/>
    <w:rsid w:val="007A4A76"/>
    <w:rsid w:val="007A7AE5"/>
    <w:rsid w:val="007B0C68"/>
    <w:rsid w:val="007C23FB"/>
    <w:rsid w:val="007D516F"/>
    <w:rsid w:val="007D682F"/>
    <w:rsid w:val="007E3D4F"/>
    <w:rsid w:val="007E7E8F"/>
    <w:rsid w:val="007F2517"/>
    <w:rsid w:val="007F5C7B"/>
    <w:rsid w:val="00800446"/>
    <w:rsid w:val="00804ED0"/>
    <w:rsid w:val="008611D0"/>
    <w:rsid w:val="008705C9"/>
    <w:rsid w:val="0087583F"/>
    <w:rsid w:val="00880873"/>
    <w:rsid w:val="008826B5"/>
    <w:rsid w:val="0089311C"/>
    <w:rsid w:val="0089555A"/>
    <w:rsid w:val="008A132C"/>
    <w:rsid w:val="008A4102"/>
    <w:rsid w:val="008A687B"/>
    <w:rsid w:val="008B5CD1"/>
    <w:rsid w:val="008D5BE6"/>
    <w:rsid w:val="008E4E23"/>
    <w:rsid w:val="008E5B26"/>
    <w:rsid w:val="008F0B9A"/>
    <w:rsid w:val="008F0BE8"/>
    <w:rsid w:val="008F5268"/>
    <w:rsid w:val="009022FB"/>
    <w:rsid w:val="00914D72"/>
    <w:rsid w:val="00915CF8"/>
    <w:rsid w:val="009270F5"/>
    <w:rsid w:val="00936E15"/>
    <w:rsid w:val="00960F82"/>
    <w:rsid w:val="00962D8F"/>
    <w:rsid w:val="00963793"/>
    <w:rsid w:val="00973075"/>
    <w:rsid w:val="009A7C7C"/>
    <w:rsid w:val="009C2051"/>
    <w:rsid w:val="009C5F9F"/>
    <w:rsid w:val="009F01D6"/>
    <w:rsid w:val="00A03DF7"/>
    <w:rsid w:val="00A23D3F"/>
    <w:rsid w:val="00A45E75"/>
    <w:rsid w:val="00A51285"/>
    <w:rsid w:val="00A5198A"/>
    <w:rsid w:val="00A70354"/>
    <w:rsid w:val="00A750E7"/>
    <w:rsid w:val="00A779B3"/>
    <w:rsid w:val="00A8369E"/>
    <w:rsid w:val="00A93873"/>
    <w:rsid w:val="00A96D14"/>
    <w:rsid w:val="00AB18FA"/>
    <w:rsid w:val="00AD6ED8"/>
    <w:rsid w:val="00AE7E84"/>
    <w:rsid w:val="00B04F5B"/>
    <w:rsid w:val="00B12311"/>
    <w:rsid w:val="00B35AC8"/>
    <w:rsid w:val="00B51D49"/>
    <w:rsid w:val="00B663D5"/>
    <w:rsid w:val="00B717B0"/>
    <w:rsid w:val="00B73834"/>
    <w:rsid w:val="00B73931"/>
    <w:rsid w:val="00B97366"/>
    <w:rsid w:val="00BA14A0"/>
    <w:rsid w:val="00BA6870"/>
    <w:rsid w:val="00BB262A"/>
    <w:rsid w:val="00BB445F"/>
    <w:rsid w:val="00BB6C6A"/>
    <w:rsid w:val="00BC1F37"/>
    <w:rsid w:val="00BC3726"/>
    <w:rsid w:val="00BC73B2"/>
    <w:rsid w:val="00BE75BB"/>
    <w:rsid w:val="00BE7F92"/>
    <w:rsid w:val="00C13B0A"/>
    <w:rsid w:val="00C32FCD"/>
    <w:rsid w:val="00C352E5"/>
    <w:rsid w:val="00C44B3D"/>
    <w:rsid w:val="00C71C3F"/>
    <w:rsid w:val="00C86555"/>
    <w:rsid w:val="00C90EA4"/>
    <w:rsid w:val="00CB0DE1"/>
    <w:rsid w:val="00CD3165"/>
    <w:rsid w:val="00CF5543"/>
    <w:rsid w:val="00D02716"/>
    <w:rsid w:val="00D1248C"/>
    <w:rsid w:val="00D12F56"/>
    <w:rsid w:val="00D176D0"/>
    <w:rsid w:val="00D2730B"/>
    <w:rsid w:val="00D27C7C"/>
    <w:rsid w:val="00D31B66"/>
    <w:rsid w:val="00D55EAD"/>
    <w:rsid w:val="00D60DFF"/>
    <w:rsid w:val="00DA0000"/>
    <w:rsid w:val="00DC3F4B"/>
    <w:rsid w:val="00DC4B68"/>
    <w:rsid w:val="00DE3B76"/>
    <w:rsid w:val="00DF1D6D"/>
    <w:rsid w:val="00E04486"/>
    <w:rsid w:val="00E210F1"/>
    <w:rsid w:val="00E22271"/>
    <w:rsid w:val="00E2769E"/>
    <w:rsid w:val="00E31897"/>
    <w:rsid w:val="00E375C9"/>
    <w:rsid w:val="00E40C44"/>
    <w:rsid w:val="00E637F9"/>
    <w:rsid w:val="00E713FA"/>
    <w:rsid w:val="00E93636"/>
    <w:rsid w:val="00EB3574"/>
    <w:rsid w:val="00EB44F2"/>
    <w:rsid w:val="00ED7DFC"/>
    <w:rsid w:val="00EE549A"/>
    <w:rsid w:val="00F01071"/>
    <w:rsid w:val="00F050BA"/>
    <w:rsid w:val="00F07920"/>
    <w:rsid w:val="00F17DE0"/>
    <w:rsid w:val="00F26673"/>
    <w:rsid w:val="00F44E91"/>
    <w:rsid w:val="00F529B4"/>
    <w:rsid w:val="00F52AFD"/>
    <w:rsid w:val="00F53C17"/>
    <w:rsid w:val="00F558F9"/>
    <w:rsid w:val="00F81C57"/>
    <w:rsid w:val="00F82E98"/>
    <w:rsid w:val="00F87023"/>
    <w:rsid w:val="00FC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0E7"/>
    <w:pPr>
      <w:spacing w:after="0" w:line="240" w:lineRule="auto"/>
    </w:pPr>
    <w:rPr>
      <w:rFonts w:ascii="Times New Roman" w:eastAsia="Times New Roman" w:hAnsi="Times New Roman" w:cs="Times New Roman"/>
      <w:spacing w:val="-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A750E7"/>
    <w:pPr>
      <w:widowControl w:val="0"/>
      <w:autoSpaceDE w:val="0"/>
      <w:autoSpaceDN w:val="0"/>
      <w:adjustRightInd w:val="0"/>
    </w:pPr>
    <w:rPr>
      <w:rFonts w:ascii="Arial" w:hAnsi="Arial"/>
      <w:spacing w:val="0"/>
      <w:sz w:val="24"/>
      <w:szCs w:val="24"/>
    </w:rPr>
  </w:style>
  <w:style w:type="character" w:customStyle="1" w:styleId="FontStyle11">
    <w:name w:val="Font Style11"/>
    <w:rsid w:val="00A750E7"/>
    <w:rPr>
      <w:rFonts w:ascii="Arial" w:hAnsi="Arial" w:cs="Arial" w:hint="default"/>
      <w:b/>
      <w:bCs/>
      <w:sz w:val="22"/>
      <w:szCs w:val="22"/>
    </w:rPr>
  </w:style>
  <w:style w:type="table" w:styleId="a3">
    <w:name w:val="Table Grid"/>
    <w:basedOn w:val="a1"/>
    <w:uiPriority w:val="59"/>
    <w:rsid w:val="0010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0E7"/>
    <w:pPr>
      <w:spacing w:after="0" w:line="240" w:lineRule="auto"/>
    </w:pPr>
    <w:rPr>
      <w:rFonts w:ascii="Times New Roman" w:eastAsia="Times New Roman" w:hAnsi="Times New Roman" w:cs="Times New Roman"/>
      <w:spacing w:val="-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A750E7"/>
    <w:pPr>
      <w:widowControl w:val="0"/>
      <w:autoSpaceDE w:val="0"/>
      <w:autoSpaceDN w:val="0"/>
      <w:adjustRightInd w:val="0"/>
    </w:pPr>
    <w:rPr>
      <w:rFonts w:ascii="Arial" w:hAnsi="Arial"/>
      <w:spacing w:val="0"/>
      <w:sz w:val="24"/>
      <w:szCs w:val="24"/>
    </w:rPr>
  </w:style>
  <w:style w:type="character" w:customStyle="1" w:styleId="FontStyle11">
    <w:name w:val="Font Style11"/>
    <w:rsid w:val="00A750E7"/>
    <w:rPr>
      <w:rFonts w:ascii="Arial" w:hAnsi="Arial" w:cs="Arial" w:hint="default"/>
      <w:b/>
      <w:bCs/>
      <w:sz w:val="22"/>
      <w:szCs w:val="22"/>
    </w:rPr>
  </w:style>
  <w:style w:type="table" w:styleId="a3">
    <w:name w:val="Table Grid"/>
    <w:basedOn w:val="a1"/>
    <w:uiPriority w:val="59"/>
    <w:rsid w:val="00102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2016-05-25T11:21:00Z</dcterms:created>
  <dcterms:modified xsi:type="dcterms:W3CDTF">2016-09-27T19:54:00Z</dcterms:modified>
</cp:coreProperties>
</file>