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19.xml" ContentType="application/vnd.ms-office.chartcolorstyle+xml"/>
  <Override PartName="/word/charts/colors2.xml" ContentType="application/vnd.ms-office.chartcolorstyle+xml"/>
  <Override PartName="/word/charts/colors20.xml" ContentType="application/vnd.ms-office.chartcolorstyle+xml"/>
  <Override PartName="/word/charts/colors21.xml" ContentType="application/vnd.ms-office.chartcolorstyle+xml"/>
  <Override PartName="/word/charts/colors22.xml" ContentType="application/vnd.ms-office.chartcolorstyle+xml"/>
  <Override PartName="/word/charts/colors23.xml" ContentType="application/vnd.ms-office.chartcolorstyle+xml"/>
  <Override PartName="/word/charts/colors24.xml" ContentType="application/vnd.ms-office.chartcolorstyle+xml"/>
  <Override PartName="/word/charts/colors25.xml" ContentType="application/vnd.ms-office.chartcolorstyle+xml"/>
  <Override PartName="/word/charts/colors26.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19.xml" ContentType="application/vnd.ms-office.chartstyle+xml"/>
  <Override PartName="/word/charts/style2.xml" ContentType="application/vnd.ms-office.chartstyle+xml"/>
  <Override PartName="/word/charts/style20.xml" ContentType="application/vnd.ms-office.chartstyle+xml"/>
  <Override PartName="/word/charts/style21.xml" ContentType="application/vnd.ms-office.chartstyle+xml"/>
  <Override PartName="/word/charts/style22.xml" ContentType="application/vnd.ms-office.chartstyle+xml"/>
  <Override PartName="/word/charts/style23.xml" ContentType="application/vnd.ms-office.chartstyle+xml"/>
  <Override PartName="/word/charts/style24.xml" ContentType="application/vnd.ms-office.chartstyle+xml"/>
  <Override PartName="/word/charts/style25.xml" ContentType="application/vnd.ms-office.chartstyle+xml"/>
  <Override PartName="/word/charts/style26.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color w:val="000000"/>
        </w:rPr>
      </w:pPr>
    </w:p>
    <w:p>
      <w:pPr>
        <w:spacing w:line="360" w:lineRule="auto"/>
        <w:jc w:val="center"/>
        <w:rPr>
          <w:color w:val="000000"/>
        </w:rPr>
      </w:pPr>
    </w:p>
    <w:p>
      <w:pPr>
        <w:spacing w:line="360" w:lineRule="auto"/>
        <w:ind w:left="-141" w:leftChars="-67"/>
        <w:jc w:val="center"/>
        <w:rPr>
          <w:rFonts w:ascii="仿宋" w:hAnsi="仿宋" w:eastAsia="仿宋" w:cs="仿宋"/>
          <w:b/>
          <w:color w:val="000000"/>
          <w:sz w:val="48"/>
        </w:rPr>
      </w:pPr>
      <w:r>
        <w:rPr>
          <w:rFonts w:hint="eastAsia" w:ascii="仿宋" w:hAnsi="仿宋" w:eastAsia="仿宋" w:cs="仿宋"/>
          <w:b/>
          <w:color w:val="000000"/>
          <w:sz w:val="48"/>
        </w:rPr>
        <w:t>CMAU全国大学生市场研究与商业策划大赛</w:t>
      </w:r>
    </w:p>
    <w:p>
      <w:pPr>
        <w:spacing w:line="360" w:lineRule="auto"/>
        <w:jc w:val="center"/>
        <w:rPr>
          <w:rFonts w:ascii="仿宋" w:hAnsi="仿宋" w:eastAsia="仿宋" w:cs="仿宋"/>
          <w:color w:val="000000"/>
        </w:rPr>
      </w:pPr>
    </w:p>
    <w:p>
      <w:pPr>
        <w:spacing w:line="360" w:lineRule="auto"/>
        <w:jc w:val="center"/>
        <w:rPr>
          <w:rFonts w:ascii="仿宋" w:hAnsi="仿宋" w:eastAsia="仿宋" w:cs="仿宋"/>
          <w:b/>
          <w:color w:val="000000"/>
          <w:sz w:val="48"/>
        </w:rPr>
      </w:pPr>
      <w:r>
        <w:rPr>
          <w:rFonts w:hint="eastAsia" w:ascii="仿宋" w:hAnsi="仿宋" w:eastAsia="仿宋" w:cs="仿宋"/>
          <w:b/>
          <w:color w:val="000000"/>
          <w:sz w:val="48"/>
        </w:rPr>
        <w:t>项   目   书</w:t>
      </w:r>
    </w:p>
    <w:p>
      <w:pPr>
        <w:spacing w:line="360" w:lineRule="auto"/>
        <w:jc w:val="center"/>
        <w:rPr>
          <w:rFonts w:ascii="华文中宋" w:eastAsia="华文中宋"/>
          <w:b/>
          <w:color w:val="000000"/>
          <w:sz w:val="48"/>
        </w:rPr>
      </w:pPr>
    </w:p>
    <w:p>
      <w:pPr>
        <w:spacing w:line="360" w:lineRule="auto"/>
        <w:jc w:val="center"/>
        <w:rPr>
          <w:rFonts w:ascii="华文中宋" w:eastAsia="华文中宋"/>
          <w:b/>
          <w:color w:val="000000"/>
          <w:sz w:val="48"/>
        </w:rPr>
      </w:pPr>
    </w:p>
    <w:p>
      <w:pPr>
        <w:spacing w:line="360" w:lineRule="auto"/>
        <w:rPr>
          <w:rFonts w:eastAsia="黑体"/>
          <w:color w:val="000000"/>
        </w:rPr>
      </w:pPr>
    </w:p>
    <w:tbl>
      <w:tblPr>
        <w:tblStyle w:val="12"/>
        <w:tblW w:w="87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2"/>
        <w:gridCol w:w="5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2" w:hRule="atLeast"/>
          <w:jc w:val="center"/>
        </w:trPr>
        <w:tc>
          <w:tcPr>
            <w:tcW w:w="2932" w:type="dxa"/>
            <w:tcBorders>
              <w:top w:val="nil"/>
              <w:left w:val="nil"/>
              <w:bottom w:val="nil"/>
              <w:right w:val="nil"/>
            </w:tcBorders>
            <w:vAlign w:val="center"/>
          </w:tcPr>
          <w:p>
            <w:pPr>
              <w:spacing w:line="360" w:lineRule="auto"/>
              <w:jc w:val="center"/>
              <w:rPr>
                <w:rFonts w:ascii="仿宋" w:eastAsia="仿宋"/>
                <w:color w:val="000000"/>
                <w:sz w:val="32"/>
              </w:rPr>
            </w:pPr>
            <w:r>
              <w:rPr>
                <w:rFonts w:hint="eastAsia" w:ascii="仿宋_GB2312" w:eastAsia="仿宋_GB2312"/>
                <w:color w:val="000000"/>
                <w:sz w:val="32"/>
              </w:rPr>
              <w:t>项  目  类  别</w:t>
            </w:r>
          </w:p>
        </w:tc>
        <w:tc>
          <w:tcPr>
            <w:tcW w:w="5827" w:type="dxa"/>
            <w:tcBorders>
              <w:top w:val="single" w:color="auto" w:sz="4" w:space="0"/>
              <w:left w:val="nil"/>
              <w:bottom w:val="single" w:color="auto" w:sz="4" w:space="0"/>
              <w:right w:val="nil"/>
            </w:tcBorders>
            <w:vAlign w:val="center"/>
          </w:tcPr>
          <w:p>
            <w:pPr>
              <w:spacing w:line="360" w:lineRule="auto"/>
              <w:jc w:val="left"/>
              <w:rPr>
                <w:rFonts w:ascii="楷体_GB2312" w:eastAsia="楷体_GB2312"/>
                <w:color w:val="000000"/>
                <w:sz w:val="32"/>
                <w:szCs w:val="32"/>
              </w:rPr>
            </w:pPr>
            <w:r>
              <w:rPr>
                <w:rFonts w:hint="eastAsia" w:ascii="楷体_GB2312" w:eastAsia="楷体_GB2312"/>
                <w:color w:val="000000"/>
                <w:sz w:val="32"/>
                <w:szCs w:val="32"/>
              </w:rPr>
              <w:t>企业命题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7" w:hRule="atLeast"/>
          <w:jc w:val="center"/>
        </w:trPr>
        <w:tc>
          <w:tcPr>
            <w:tcW w:w="2932" w:type="dxa"/>
            <w:tcBorders>
              <w:top w:val="nil"/>
              <w:left w:val="nil"/>
              <w:bottom w:val="nil"/>
              <w:right w:val="nil"/>
            </w:tcBorders>
            <w:vAlign w:val="center"/>
          </w:tcPr>
          <w:p>
            <w:pPr>
              <w:spacing w:line="360" w:lineRule="auto"/>
              <w:jc w:val="center"/>
              <w:rPr>
                <w:rFonts w:ascii="仿宋" w:eastAsia="仿宋"/>
                <w:color w:val="000000"/>
                <w:sz w:val="32"/>
              </w:rPr>
            </w:pPr>
            <w:r>
              <w:rPr>
                <w:rFonts w:hint="eastAsia" w:ascii="仿宋_GB2312" w:eastAsia="仿宋_GB2312"/>
                <w:color w:val="000000"/>
                <w:sz w:val="32"/>
              </w:rPr>
              <w:t>项  目  名  称</w:t>
            </w:r>
            <w:r>
              <w:rPr>
                <w:rFonts w:hint="eastAsia" w:ascii="仿宋" w:eastAsia="仿宋"/>
                <w:color w:val="000000"/>
                <w:sz w:val="32"/>
              </w:rPr>
              <w:t xml:space="preserve">  </w:t>
            </w:r>
          </w:p>
        </w:tc>
        <w:tc>
          <w:tcPr>
            <w:tcW w:w="5827" w:type="dxa"/>
            <w:tcBorders>
              <w:top w:val="single" w:color="auto" w:sz="4" w:space="0"/>
              <w:left w:val="nil"/>
              <w:bottom w:val="single" w:color="auto" w:sz="4" w:space="0"/>
              <w:right w:val="nil"/>
            </w:tcBorders>
            <w:vAlign w:val="center"/>
          </w:tcPr>
          <w:p>
            <w:pPr>
              <w:spacing w:line="360" w:lineRule="auto"/>
              <w:rPr>
                <w:rFonts w:ascii="楷体_GB2312" w:eastAsia="楷体_GB2312"/>
                <w:b/>
                <w:color w:val="000000"/>
                <w:sz w:val="28"/>
                <w:szCs w:val="22"/>
              </w:rPr>
            </w:pPr>
          </w:p>
          <w:p>
            <w:pPr>
              <w:spacing w:line="360" w:lineRule="auto"/>
              <w:rPr>
                <w:rFonts w:ascii="楷体_GB2312" w:eastAsia="楷体_GB2312"/>
                <w:bCs/>
                <w:color w:val="000000"/>
                <w:sz w:val="32"/>
              </w:rPr>
            </w:pPr>
            <w:r>
              <w:rPr>
                <w:rFonts w:hint="eastAsia" w:ascii="楷体_GB2312" w:eastAsia="楷体_GB2312"/>
                <w:bCs/>
                <w:color w:val="000000"/>
                <w:sz w:val="32"/>
              </w:rPr>
              <w:t>中国婴童市场行业需求分析与营销策略</w:t>
            </w:r>
          </w:p>
          <w:p>
            <w:pPr>
              <w:spacing w:line="360" w:lineRule="auto"/>
              <w:rPr>
                <w:rFonts w:ascii="楷体_GB2312" w:eastAsia="楷体_GB2312"/>
                <w:bCs/>
                <w:color w:val="000000"/>
                <w:sz w:val="28"/>
                <w:szCs w:val="22"/>
              </w:rPr>
            </w:pPr>
            <w:r>
              <w:rPr>
                <w:rFonts w:hint="eastAsia" w:ascii="楷体_GB2312" w:eastAsia="楷体_GB2312"/>
                <w:bCs/>
                <w:color w:val="000000"/>
                <w:sz w:val="32"/>
              </w:rPr>
              <w:t>—以好孩子食品（海南）公司为例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2" w:hRule="atLeast"/>
          <w:jc w:val="center"/>
        </w:trPr>
        <w:tc>
          <w:tcPr>
            <w:tcW w:w="2932" w:type="dxa"/>
            <w:tcBorders>
              <w:top w:val="nil"/>
              <w:left w:val="nil"/>
              <w:bottom w:val="nil"/>
              <w:right w:val="nil"/>
            </w:tcBorders>
            <w:vAlign w:val="center"/>
          </w:tcPr>
          <w:p>
            <w:pPr>
              <w:spacing w:line="360" w:lineRule="auto"/>
              <w:jc w:val="center"/>
              <w:rPr>
                <w:rFonts w:ascii="仿宋_GB2312" w:eastAsia="仿宋_GB2312"/>
                <w:color w:val="000000"/>
                <w:sz w:val="32"/>
              </w:rPr>
            </w:pPr>
            <w:r>
              <w:rPr>
                <w:rFonts w:hint="eastAsia" w:ascii="仿宋_GB2312" w:eastAsia="仿宋_GB2312"/>
                <w:color w:val="000000"/>
                <w:sz w:val="32"/>
              </w:rPr>
              <w:t>团  队  名  称</w:t>
            </w:r>
          </w:p>
        </w:tc>
        <w:tc>
          <w:tcPr>
            <w:tcW w:w="5827" w:type="dxa"/>
            <w:tcBorders>
              <w:top w:val="single" w:color="auto" w:sz="4" w:space="0"/>
              <w:left w:val="nil"/>
              <w:bottom w:val="single" w:color="auto" w:sz="4" w:space="0"/>
              <w:right w:val="nil"/>
            </w:tcBorders>
            <w:vAlign w:val="center"/>
          </w:tcPr>
          <w:p>
            <w:pPr>
              <w:spacing w:line="360" w:lineRule="auto"/>
              <w:rPr>
                <w:rFonts w:ascii="楷体_GB2312" w:eastAsia="楷体_GB2312"/>
                <w:bCs/>
                <w:color w:val="000000"/>
                <w:sz w:val="32"/>
              </w:rPr>
            </w:pPr>
            <w:r>
              <w:rPr>
                <w:rFonts w:hint="eastAsia" w:ascii="楷体_GB2312" w:eastAsia="楷体_GB2312"/>
                <w:bCs/>
                <w:color w:val="000000"/>
                <w:sz w:val="32"/>
              </w:rPr>
              <w:t>发际线与我作队</w:t>
            </w:r>
          </w:p>
        </w:tc>
      </w:tr>
    </w:tbl>
    <w:p>
      <w:pPr>
        <w:spacing w:line="360" w:lineRule="auto"/>
        <w:jc w:val="center"/>
        <w:rPr>
          <w:rFonts w:eastAsia="仿宋_GB2312"/>
          <w:color w:val="000000"/>
          <w:sz w:val="32"/>
        </w:rPr>
      </w:pPr>
    </w:p>
    <w:p>
      <w:pPr>
        <w:spacing w:line="360" w:lineRule="auto"/>
        <w:jc w:val="center"/>
        <w:rPr>
          <w:rFonts w:eastAsia="仿宋_GB2312"/>
          <w:color w:val="000000"/>
          <w:sz w:val="32"/>
        </w:rPr>
      </w:pPr>
    </w:p>
    <w:p>
      <w:pPr>
        <w:spacing w:line="360" w:lineRule="auto"/>
        <w:jc w:val="center"/>
        <w:rPr>
          <w:rFonts w:eastAsia="仿宋_GB2312"/>
          <w:color w:val="000000"/>
          <w:sz w:val="28"/>
          <w:szCs w:val="18"/>
        </w:rPr>
      </w:pPr>
    </w:p>
    <w:p>
      <w:pPr>
        <w:spacing w:line="360" w:lineRule="auto"/>
        <w:jc w:val="center"/>
        <w:rPr>
          <w:rFonts w:ascii="宋体"/>
          <w:color w:val="000000"/>
          <w:sz w:val="28"/>
          <w:szCs w:val="18"/>
        </w:rPr>
      </w:pPr>
      <w:r>
        <w:rPr>
          <w:rFonts w:hint="eastAsia" w:ascii="宋体"/>
          <w:color w:val="000000"/>
          <w:sz w:val="28"/>
          <w:szCs w:val="18"/>
        </w:rPr>
        <w:t>全国大学生市场研究与商业策划大赛</w:t>
      </w:r>
    </w:p>
    <w:p>
      <w:pPr>
        <w:spacing w:line="360" w:lineRule="auto"/>
        <w:jc w:val="center"/>
        <w:rPr>
          <w:rFonts w:ascii="宋体"/>
          <w:color w:val="000000"/>
          <w:sz w:val="28"/>
          <w:szCs w:val="18"/>
        </w:rPr>
      </w:pPr>
      <w:r>
        <w:rPr>
          <w:rFonts w:hint="eastAsia" w:ascii="宋体"/>
          <w:color w:val="000000"/>
          <w:sz w:val="28"/>
          <w:szCs w:val="18"/>
        </w:rPr>
        <w:t>组委会制</w:t>
      </w:r>
    </w:p>
    <w:p>
      <w:pPr>
        <w:spacing w:line="360" w:lineRule="auto"/>
        <w:jc w:val="center"/>
        <w:rPr>
          <w:rFonts w:ascii="宋体"/>
          <w:color w:val="000000"/>
          <w:sz w:val="28"/>
          <w:szCs w:val="18"/>
        </w:rPr>
      </w:pPr>
      <w:r>
        <w:rPr>
          <w:rFonts w:hint="eastAsia" w:ascii="宋体"/>
          <w:color w:val="000000"/>
          <w:sz w:val="28"/>
          <w:szCs w:val="18"/>
        </w:rPr>
        <w:t>2022年</w:t>
      </w:r>
      <w:r>
        <w:rPr>
          <w:rFonts w:ascii="宋体"/>
          <w:color w:val="000000"/>
          <w:sz w:val="28"/>
          <w:szCs w:val="18"/>
        </w:rPr>
        <w:t>8</w:t>
      </w:r>
      <w:r>
        <w:rPr>
          <w:rFonts w:hint="eastAsia" w:ascii="宋体"/>
          <w:color w:val="000000"/>
          <w:sz w:val="28"/>
          <w:szCs w:val="18"/>
        </w:rPr>
        <w:t>月3</w:t>
      </w:r>
      <w:r>
        <w:rPr>
          <w:rFonts w:ascii="宋体"/>
          <w:color w:val="000000"/>
          <w:sz w:val="28"/>
          <w:szCs w:val="18"/>
        </w:rPr>
        <w:t>1</w:t>
      </w:r>
      <w:r>
        <w:rPr>
          <w:rFonts w:hint="eastAsia" w:ascii="宋体"/>
          <w:color w:val="000000"/>
          <w:sz w:val="28"/>
          <w:szCs w:val="18"/>
        </w:rPr>
        <w:t>日</w:t>
      </w:r>
    </w:p>
    <w:p>
      <w:pPr>
        <w:spacing w:line="360" w:lineRule="auto"/>
        <w:jc w:val="center"/>
        <w:rPr>
          <w:rFonts w:ascii="宋体" w:hAnsi="宋体" w:eastAsia="宋体" w:cs="宋体"/>
          <w:sz w:val="28"/>
          <w:szCs w:val="28"/>
        </w:rPr>
        <w:sectPr>
          <w:pgSz w:w="11906" w:h="16838"/>
          <w:pgMar w:top="1440" w:right="1416" w:bottom="1440" w:left="1800" w:header="851" w:footer="992" w:gutter="0"/>
          <w:pgNumType w:fmt="decimal"/>
          <w:cols w:space="425" w:num="1"/>
          <w:docGrid w:type="lines" w:linePitch="312" w:charSpace="0"/>
        </w:sectPr>
      </w:pPr>
    </w:p>
    <w:p>
      <w:pPr>
        <w:spacing w:line="360" w:lineRule="auto"/>
        <w:rPr>
          <w:rFonts w:eastAsia="黑体"/>
          <w:color w:val="000000"/>
          <w:sz w:val="32"/>
        </w:rPr>
      </w:pPr>
      <w:r>
        <w:rPr>
          <w:rFonts w:hint="eastAsia" w:eastAsia="黑体"/>
          <w:color w:val="000000"/>
          <w:sz w:val="32"/>
        </w:rPr>
        <w:t>第</w:t>
      </w:r>
      <w:r>
        <w:rPr>
          <w:rFonts w:hint="eastAsia" w:eastAsia="黑体"/>
          <w:color w:val="000000"/>
          <w:sz w:val="32"/>
          <w:lang w:eastAsia="zh-Hans"/>
        </w:rPr>
        <w:t>一</w:t>
      </w:r>
      <w:r>
        <w:rPr>
          <w:rFonts w:hint="eastAsia" w:eastAsia="黑体"/>
          <w:color w:val="000000"/>
          <w:sz w:val="32"/>
        </w:rPr>
        <w:t>部分：项目基本信息</w:t>
      </w:r>
    </w:p>
    <w:tbl>
      <w:tblPr>
        <w:tblStyle w:val="12"/>
        <w:tblW w:w="9062"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183"/>
        <w:gridCol w:w="787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119" w:hRule="atLeast"/>
          <w:jc w:val="center"/>
        </w:trPr>
        <w:tc>
          <w:tcPr>
            <w:tcW w:w="0" w:type="auto"/>
            <w:vAlign w:val="center"/>
          </w:tcPr>
          <w:p>
            <w:pPr>
              <w:jc w:val="center"/>
              <w:rPr>
                <w:rFonts w:ascii="宋体"/>
                <w:color w:val="000000"/>
                <w:szCs w:val="21"/>
              </w:rPr>
            </w:pPr>
            <w:r>
              <w:rPr>
                <w:rFonts w:hint="eastAsia" w:ascii="宋体"/>
                <w:b/>
                <w:bCs/>
                <w:color w:val="000000"/>
                <w:sz w:val="24"/>
              </w:rPr>
              <w:t>项目标题</w:t>
            </w:r>
          </w:p>
        </w:tc>
        <w:tc>
          <w:tcPr>
            <w:tcW w:w="7862" w:type="dxa"/>
            <w:vAlign w:val="center"/>
          </w:tcPr>
          <w:p>
            <w:pPr>
              <w:spacing w:line="360" w:lineRule="auto"/>
              <w:jc w:val="left"/>
              <w:rPr>
                <w:rFonts w:ascii="宋体" w:hAnsi="宋体" w:cs="宋体"/>
                <w:sz w:val="24"/>
              </w:rPr>
            </w:pPr>
            <w:r>
              <w:rPr>
                <w:rFonts w:hint="eastAsia" w:ascii="宋体" w:hAnsi="宋体" w:eastAsia="宋体" w:cs="宋体"/>
                <w:sz w:val="24"/>
              </w:rPr>
              <w:t>中国婴童市场行业需求分析与营销策略-以好孩子食品（海南）公司为例</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1632" w:hRule="atLeast"/>
          <w:jc w:val="center"/>
        </w:trPr>
        <w:tc>
          <w:tcPr>
            <w:tcW w:w="9062" w:type="dxa"/>
            <w:gridSpan w:val="2"/>
          </w:tcPr>
          <w:p>
            <w:pPr>
              <w:spacing w:before="156" w:beforeLines="50" w:line="360" w:lineRule="auto"/>
              <w:jc w:val="center"/>
              <w:rPr>
                <w:rFonts w:ascii="宋体"/>
                <w:b/>
                <w:bCs/>
                <w:color w:val="000000"/>
                <w:sz w:val="24"/>
                <w:lang w:eastAsia="zh-Hans"/>
              </w:rPr>
            </w:pPr>
            <w:r>
              <w:rPr>
                <w:rFonts w:hint="eastAsia" w:ascii="宋体"/>
                <w:b/>
                <w:bCs/>
                <w:color w:val="000000"/>
                <w:sz w:val="24"/>
                <w:lang w:eastAsia="zh-Hans"/>
              </w:rPr>
              <w:t>摘要</w:t>
            </w:r>
          </w:p>
          <w:p>
            <w:pPr>
              <w:spacing w:line="360" w:lineRule="auto"/>
              <w:ind w:firstLine="420" w:firstLineChars="200"/>
              <w:rPr>
                <w:rFonts w:ascii="宋体" w:hAnsi="宋体" w:eastAsia="宋体" w:cs="宋体"/>
                <w:szCs w:val="21"/>
              </w:rPr>
            </w:pPr>
            <w:r>
              <w:rPr>
                <w:rFonts w:hint="eastAsia" w:ascii="宋体" w:hAnsi="宋体" w:eastAsia="宋体" w:cs="宋体"/>
                <w:szCs w:val="21"/>
              </w:rPr>
              <w:t>随着我国经济不断发展，婴童经济在国民经济中的角色越来越重要。婴童产业因其广阔发展前景，被称为21世纪的朝阳产业。我国婴童用品产业当前正处于快速发展期，但同时也存在着行业规范化不足，品质良莠不齐等问题。特别地，国产品牌在国内外品牌竞争中劣势明显。</w:t>
            </w:r>
            <w:r>
              <w:rPr>
                <w:rFonts w:hint="eastAsia" w:ascii="宋体" w:hAnsi="宋体" w:eastAsia="宋体" w:cs="宋体"/>
              </w:rPr>
              <w:t>海南好孩子（食品）有限公司成立于2022年，主要经营的品类：婴童类目，婴童类目为两个方向，婴儿食品和儿童食品</w:t>
            </w:r>
            <w:r>
              <w:rPr>
                <w:rFonts w:hint="eastAsia" w:ascii="宋体" w:hAnsi="宋体" w:eastAsia="宋体" w:cs="宋体"/>
                <w:szCs w:val="21"/>
              </w:rPr>
              <w:t>。目前作为初创企业，月营业额较高，市场潜力较大。如何制定科学合理的营销策略，逐渐扩大市场份额，增加品牌知名度，是当前好孩子食品（海南）有限公司突破瓶颈的重要窗口期。</w:t>
            </w:r>
          </w:p>
          <w:p>
            <w:pPr>
              <w:spacing w:line="360" w:lineRule="auto"/>
              <w:ind w:firstLine="420" w:firstLineChars="200"/>
              <w:rPr>
                <w:rFonts w:ascii="宋体" w:hAnsi="宋体" w:eastAsia="宋体" w:cs="宋体"/>
                <w:szCs w:val="21"/>
              </w:rPr>
            </w:pPr>
            <w:r>
              <w:rPr>
                <w:rFonts w:hint="eastAsia" w:ascii="宋体" w:hAnsi="宋体" w:eastAsia="宋体" w:cs="宋体"/>
                <w:szCs w:val="21"/>
              </w:rPr>
              <w:t>本文首先通过深入调查婴童用品市场现状，定位品牌的营销环境，并采用文献研究法和问卷调查法，对公司所面对的客户需求进行深入了解。其次，运用统计学原理以及文本分析技术对数据进行处理，分析得到婴童产品市场现状与趋势、用户需求特征与种草行为。根据上述调研结果，文章提出了相应建议的营销策略，深耕核心单品，创新捆绑销售方式；价格方面，采用差异化的定价策略，丰富价格体系；渠道方面，建立和维护母婴店渠道，深耕网络电商渠道；促销方面，采用适当的广告形式进行活动促销和公关促销；服务策略，</w:t>
            </w:r>
            <w:r>
              <w:rPr>
                <w:rFonts w:hint="eastAsia" w:ascii="宋体" w:hAnsi="宋体" w:eastAsia="宋体" w:cs="宋体"/>
              </w:rPr>
              <w:t>创建顾客体验为核心的服务营销</w:t>
            </w:r>
            <w:r>
              <w:rPr>
                <w:rFonts w:hint="eastAsia" w:ascii="宋体" w:hAnsi="宋体" w:eastAsia="宋体" w:cs="宋体"/>
                <w:szCs w:val="21"/>
              </w:rPr>
              <w:t>。最后，文章对提出的营销策略进行了可行性分析与预期效果分析，以供参考。</w:t>
            </w:r>
          </w:p>
          <w:p>
            <w:pPr>
              <w:spacing w:line="360" w:lineRule="auto"/>
              <w:ind w:firstLine="420" w:firstLineChars="200"/>
              <w:rPr>
                <w:rFonts w:ascii="宋体" w:hAnsi="宋体" w:eastAsia="宋体" w:cs="宋体"/>
                <w:szCs w:val="21"/>
              </w:rPr>
            </w:pPr>
          </w:p>
          <w:p>
            <w:pPr>
              <w:spacing w:before="156" w:beforeLines="50" w:line="360" w:lineRule="auto"/>
              <w:ind w:firstLine="420" w:firstLineChars="200"/>
              <w:rPr>
                <w:rFonts w:ascii="宋体"/>
                <w:color w:val="000000"/>
                <w:sz w:val="24"/>
              </w:rPr>
            </w:pPr>
            <w:r>
              <w:rPr>
                <w:rFonts w:hint="eastAsia" w:ascii="宋体" w:hAnsi="宋体" w:eastAsia="宋体" w:cs="宋体"/>
                <w:szCs w:val="21"/>
              </w:rPr>
              <w:t>关键</w:t>
            </w:r>
            <w:r>
              <w:rPr>
                <w:rFonts w:hint="eastAsia" w:ascii="宋体" w:hAnsi="宋体" w:eastAsia="宋体" w:cs="宋体"/>
                <w:szCs w:val="21"/>
                <w:lang w:val="en-US" w:eastAsia="zh-CN"/>
              </w:rPr>
              <w:t>词</w:t>
            </w:r>
            <w:r>
              <w:rPr>
                <w:rFonts w:hint="eastAsia" w:ascii="宋体" w:hAnsi="宋体" w:eastAsia="宋体" w:cs="宋体"/>
                <w:szCs w:val="21"/>
              </w:rPr>
              <w:t>：婴童产品；客户需求分析；营销策</w:t>
            </w:r>
            <w:r>
              <w:rPr>
                <w:rFonts w:hint="eastAsia" w:ascii="宋体" w:hAnsi="宋体" w:cs="宋体"/>
                <w:szCs w:val="21"/>
              </w:rPr>
              <w:t>略</w:t>
            </w:r>
          </w:p>
        </w:tc>
      </w:tr>
    </w:tbl>
    <w:p>
      <w:pPr>
        <w:spacing w:line="360" w:lineRule="auto"/>
        <w:ind w:firstLine="420" w:firstLineChars="200"/>
        <w:rPr>
          <w:rFonts w:ascii="宋体" w:hAnsi="宋体" w:eastAsia="宋体" w:cs="宋体"/>
          <w:szCs w:val="21"/>
        </w:rPr>
        <w:sectPr>
          <w:headerReference r:id="rId3" w:type="default"/>
          <w:pgSz w:w="11906" w:h="16838"/>
          <w:pgMar w:top="1440" w:right="1800" w:bottom="1440" w:left="1800" w:header="851" w:footer="992" w:gutter="0"/>
          <w:pgNumType w:fmt="decimal"/>
          <w:cols w:space="425" w:num="1"/>
          <w:docGrid w:type="lines" w:linePitch="312" w:charSpace="0"/>
        </w:sectPr>
      </w:pPr>
    </w:p>
    <w:sdt>
      <w:sdtPr>
        <w:rPr>
          <w:rFonts w:hint="eastAsia" w:ascii="宋体" w:hAnsi="宋体" w:eastAsia="宋体" w:cs="宋体"/>
          <w:lang w:val="zh-CN"/>
        </w:rPr>
        <w:id w:val="-17156660"/>
        <w:docPartObj>
          <w:docPartGallery w:val="Table of Contents"/>
          <w:docPartUnique/>
        </w:docPartObj>
      </w:sdtPr>
      <w:sdtEndPr>
        <w:rPr>
          <w:rFonts w:hint="eastAsia" w:ascii="宋体" w:hAnsi="宋体" w:eastAsia="宋体" w:cs="宋体"/>
          <w:b/>
          <w:bCs/>
          <w:lang w:val="zh-CN"/>
        </w:rPr>
      </w:sdtEndPr>
      <w:sdtContent>
        <w:p>
          <w:pPr>
            <w:jc w:val="center"/>
            <w:rPr>
              <w:rFonts w:ascii="宋体" w:hAnsi="宋体" w:eastAsia="宋体" w:cs="宋体"/>
              <w:sz w:val="48"/>
              <w:szCs w:val="56"/>
            </w:rPr>
          </w:pPr>
          <w:r>
            <w:rPr>
              <w:rFonts w:hint="eastAsia" w:ascii="宋体" w:hAnsi="宋体" w:eastAsia="宋体" w:cs="宋体"/>
              <w:sz w:val="48"/>
              <w:szCs w:val="56"/>
            </w:rPr>
            <w:t>目录</w:t>
          </w:r>
        </w:p>
        <w:p>
          <w:pPr>
            <w:pStyle w:val="9"/>
            <w:tabs>
              <w:tab w:val="right" w:leader="dot" w:pos="8306"/>
              <w:tab w:val="clear" w:pos="8296"/>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_Toc18913 </w:instrText>
          </w:r>
          <w:r>
            <w:rPr>
              <w:rFonts w:hint="eastAsia" w:ascii="宋体" w:hAnsi="宋体" w:eastAsia="宋体" w:cs="宋体"/>
            </w:rPr>
            <w:fldChar w:fldCharType="separate"/>
          </w:r>
          <w:r>
            <w:rPr>
              <w:rFonts w:hint="eastAsia" w:ascii="宋体" w:hAnsi="宋体" w:eastAsia="宋体" w:cs="宋体"/>
              <w:szCs w:val="28"/>
            </w:rPr>
            <w:t>一、调研背景与问题</w:t>
          </w:r>
          <w:r>
            <w:tab/>
          </w:r>
          <w:r>
            <w:fldChar w:fldCharType="begin"/>
          </w:r>
          <w:r>
            <w:instrText xml:space="preserve"> PAGEREF _Toc18913 \h </w:instrText>
          </w:r>
          <w:r>
            <w:fldChar w:fldCharType="separate"/>
          </w:r>
          <w:r>
            <w:t>1</w:t>
          </w:r>
          <w:r>
            <w:fldChar w:fldCharType="end"/>
          </w:r>
          <w:r>
            <w:rPr>
              <w:rFonts w:hint="eastAsia" w:ascii="宋体" w:hAnsi="宋体" w:eastAsia="宋体" w:cs="宋体"/>
            </w:rPr>
            <w:fldChar w:fldCharType="end"/>
          </w:r>
        </w:p>
        <w:p>
          <w:pPr>
            <w:pStyle w:val="10"/>
            <w:tabs>
              <w:tab w:val="right" w:leader="dot" w:pos="8306"/>
            </w:tabs>
          </w:pPr>
          <w:bookmarkStart w:id="91" w:name="_GoBack"/>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_Toc12589 </w:instrText>
          </w:r>
          <w:r>
            <w:rPr>
              <w:rFonts w:hint="eastAsia" w:ascii="宋体" w:hAnsi="宋体" w:eastAsia="宋体" w:cs="宋体"/>
              <w:bCs/>
              <w:lang w:val="zh-CN"/>
            </w:rPr>
            <w:fldChar w:fldCharType="separate"/>
          </w:r>
          <w:r>
            <w:rPr>
              <w:rFonts w:hint="eastAsia" w:ascii="宋体" w:hAnsi="宋体" w:eastAsia="宋体" w:cs="宋体"/>
            </w:rPr>
            <w:t>1.产业简介</w:t>
          </w:r>
          <w:r>
            <w:tab/>
          </w:r>
          <w:r>
            <w:fldChar w:fldCharType="begin"/>
          </w:r>
          <w:r>
            <w:instrText xml:space="preserve"> PAGEREF _Toc12589 \h </w:instrText>
          </w:r>
          <w:r>
            <w:fldChar w:fldCharType="separate"/>
          </w:r>
          <w:r>
            <w:t>1</w:t>
          </w:r>
          <w:r>
            <w:fldChar w:fldCharType="end"/>
          </w:r>
          <w:r>
            <w:rPr>
              <w:rFonts w:hint="eastAsia" w:ascii="宋体" w:hAnsi="宋体" w:eastAsia="宋体" w:cs="宋体"/>
              <w:bCs/>
              <w:lang w:val="zh-CN"/>
            </w:rPr>
            <w:fldChar w:fldCharType="end"/>
          </w:r>
        </w:p>
        <w:bookmarkEnd w:id="91"/>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_Toc9884 </w:instrText>
          </w:r>
          <w:r>
            <w:rPr>
              <w:rFonts w:hint="eastAsia" w:ascii="宋体" w:hAnsi="宋体" w:eastAsia="宋体" w:cs="宋体"/>
              <w:bCs/>
              <w:lang w:val="zh-CN"/>
            </w:rPr>
            <w:fldChar w:fldCharType="separate"/>
          </w:r>
          <w:r>
            <w:rPr>
              <w:rFonts w:hint="eastAsia" w:ascii="宋体" w:hAnsi="宋体" w:eastAsia="宋体" w:cs="宋体"/>
            </w:rPr>
            <w:t>2.客户群体</w:t>
          </w:r>
          <w:r>
            <w:tab/>
          </w:r>
          <w:r>
            <w:fldChar w:fldCharType="begin"/>
          </w:r>
          <w:r>
            <w:instrText xml:space="preserve"> PAGEREF _Toc9884 \h </w:instrText>
          </w:r>
          <w:r>
            <w:fldChar w:fldCharType="separate"/>
          </w:r>
          <w:r>
            <w:t>1</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_Toc20553 </w:instrText>
          </w:r>
          <w:r>
            <w:rPr>
              <w:rFonts w:hint="eastAsia" w:ascii="宋体" w:hAnsi="宋体" w:eastAsia="宋体" w:cs="宋体"/>
              <w:bCs/>
              <w:lang w:val="zh-CN"/>
            </w:rPr>
            <w:fldChar w:fldCharType="separate"/>
          </w:r>
          <w:r>
            <w:rPr>
              <w:rFonts w:hint="eastAsia" w:ascii="宋体" w:hAnsi="宋体" w:eastAsia="宋体" w:cs="宋体"/>
            </w:rPr>
            <w:t>3.产品与服务</w:t>
          </w:r>
          <w:r>
            <w:tab/>
          </w:r>
          <w:r>
            <w:fldChar w:fldCharType="begin"/>
          </w:r>
          <w:r>
            <w:instrText xml:space="preserve"> PAGEREF _Toc20553 \h </w:instrText>
          </w:r>
          <w:r>
            <w:fldChar w:fldCharType="separate"/>
          </w:r>
          <w:r>
            <w:t>1</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_Toc20870 </w:instrText>
          </w:r>
          <w:r>
            <w:rPr>
              <w:rFonts w:hint="eastAsia" w:ascii="宋体" w:hAnsi="宋体" w:eastAsia="宋体" w:cs="宋体"/>
              <w:bCs/>
              <w:lang w:val="zh-CN"/>
            </w:rPr>
            <w:fldChar w:fldCharType="separate"/>
          </w:r>
          <w:r>
            <w:rPr>
              <w:rFonts w:hint="eastAsia" w:ascii="宋体" w:hAnsi="宋体" w:eastAsia="宋体" w:cs="宋体"/>
            </w:rPr>
            <w:t>4.企业概况</w:t>
          </w:r>
          <w:r>
            <w:tab/>
          </w:r>
          <w:r>
            <w:fldChar w:fldCharType="begin"/>
          </w:r>
          <w:r>
            <w:instrText xml:space="preserve"> PAGEREF _Toc20870 \h </w:instrText>
          </w:r>
          <w:r>
            <w:fldChar w:fldCharType="separate"/>
          </w:r>
          <w:r>
            <w:t>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_Toc15988 </w:instrText>
          </w:r>
          <w:r>
            <w:rPr>
              <w:rFonts w:hint="eastAsia" w:ascii="宋体" w:hAnsi="宋体" w:eastAsia="宋体" w:cs="宋体"/>
              <w:bCs/>
              <w:lang w:val="zh-CN"/>
            </w:rPr>
            <w:fldChar w:fldCharType="separate"/>
          </w:r>
          <w:r>
            <w:rPr>
              <w:rFonts w:hint="eastAsia" w:ascii="宋体" w:hAnsi="宋体" w:eastAsia="宋体" w:cs="宋体"/>
              <w:szCs w:val="21"/>
            </w:rPr>
            <w:t>4.1公司规模</w:t>
          </w:r>
          <w:r>
            <w:tab/>
          </w:r>
          <w:r>
            <w:fldChar w:fldCharType="begin"/>
          </w:r>
          <w:r>
            <w:instrText xml:space="preserve"> PAGEREF _Toc15988 \h </w:instrText>
          </w:r>
          <w:r>
            <w:fldChar w:fldCharType="separate"/>
          </w:r>
          <w:r>
            <w:t>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_Toc9071 </w:instrText>
          </w:r>
          <w:r>
            <w:rPr>
              <w:rFonts w:hint="eastAsia" w:ascii="宋体" w:hAnsi="宋体" w:eastAsia="宋体" w:cs="宋体"/>
              <w:bCs/>
              <w:lang w:val="zh-CN"/>
            </w:rPr>
            <w:fldChar w:fldCharType="separate"/>
          </w:r>
          <w:r>
            <w:rPr>
              <w:rFonts w:hint="eastAsia" w:ascii="宋体" w:hAnsi="宋体" w:eastAsia="宋体" w:cs="宋体"/>
              <w:szCs w:val="21"/>
            </w:rPr>
            <w:t>4.2主要经营的品类</w:t>
          </w:r>
          <w:r>
            <w:tab/>
          </w:r>
          <w:r>
            <w:fldChar w:fldCharType="begin"/>
          </w:r>
          <w:r>
            <w:instrText xml:space="preserve"> PAGEREF _Toc9071 \h </w:instrText>
          </w:r>
          <w:r>
            <w:fldChar w:fldCharType="separate"/>
          </w:r>
          <w:r>
            <w:t>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_Toc14366 </w:instrText>
          </w:r>
          <w:r>
            <w:rPr>
              <w:rFonts w:hint="eastAsia" w:ascii="宋体" w:hAnsi="宋体" w:eastAsia="宋体" w:cs="宋体"/>
              <w:bCs/>
              <w:lang w:val="zh-CN"/>
            </w:rPr>
            <w:fldChar w:fldCharType="separate"/>
          </w:r>
          <w:r>
            <w:rPr>
              <w:rFonts w:hint="eastAsia" w:ascii="宋体" w:hAnsi="宋体" w:eastAsia="宋体" w:cs="宋体"/>
              <w:szCs w:val="21"/>
            </w:rPr>
            <w:t>4.3公司销售渠道</w:t>
          </w:r>
          <w:r>
            <w:tab/>
          </w:r>
          <w:r>
            <w:fldChar w:fldCharType="begin"/>
          </w:r>
          <w:r>
            <w:instrText xml:space="preserve"> PAGEREF _Toc14366 \h </w:instrText>
          </w:r>
          <w:r>
            <w:fldChar w:fldCharType="separate"/>
          </w:r>
          <w:r>
            <w:t>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_Toc6751 </w:instrText>
          </w:r>
          <w:r>
            <w:rPr>
              <w:rFonts w:hint="eastAsia" w:ascii="宋体" w:hAnsi="宋体" w:eastAsia="宋体" w:cs="宋体"/>
              <w:bCs/>
              <w:lang w:val="zh-CN"/>
            </w:rPr>
            <w:fldChar w:fldCharType="separate"/>
          </w:r>
          <w:r>
            <w:rPr>
              <w:rFonts w:hint="eastAsia" w:ascii="宋体" w:hAnsi="宋体" w:eastAsia="宋体" w:cs="宋体"/>
              <w:szCs w:val="21"/>
              <w:lang w:val="en-US" w:eastAsia="zh-CN"/>
            </w:rPr>
            <w:t>4.4 企业定位及发展</w:t>
          </w:r>
          <w:r>
            <w:tab/>
          </w:r>
          <w:r>
            <w:fldChar w:fldCharType="begin"/>
          </w:r>
          <w:r>
            <w:instrText xml:space="preserve"> PAGEREF _Toc6751 \h </w:instrText>
          </w:r>
          <w:r>
            <w:fldChar w:fldCharType="separate"/>
          </w:r>
          <w:r>
            <w:t>2</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_Toc4389 </w:instrText>
          </w:r>
          <w:r>
            <w:rPr>
              <w:rFonts w:hint="eastAsia" w:ascii="宋体" w:hAnsi="宋体" w:eastAsia="宋体" w:cs="宋体"/>
              <w:bCs/>
              <w:lang w:val="zh-CN"/>
            </w:rPr>
            <w:fldChar w:fldCharType="separate"/>
          </w:r>
          <w:r>
            <w:rPr>
              <w:rFonts w:hint="eastAsia" w:ascii="宋体" w:hAnsi="宋体" w:eastAsia="宋体" w:cs="宋体"/>
            </w:rPr>
            <w:t>5.问题简述</w:t>
          </w:r>
          <w:r>
            <w:tab/>
          </w:r>
          <w:r>
            <w:fldChar w:fldCharType="begin"/>
          </w:r>
          <w:r>
            <w:instrText xml:space="preserve"> PAGEREF _Toc4389 \h </w:instrText>
          </w:r>
          <w:r>
            <w:fldChar w:fldCharType="separate"/>
          </w:r>
          <w:r>
            <w:t>3</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_Toc6374 </w:instrText>
          </w:r>
          <w:r>
            <w:rPr>
              <w:rFonts w:hint="eastAsia" w:ascii="宋体" w:hAnsi="宋体" w:eastAsia="宋体" w:cs="宋体"/>
              <w:bCs/>
              <w:lang w:val="zh-CN"/>
            </w:rPr>
            <w:fldChar w:fldCharType="separate"/>
          </w:r>
          <w:r>
            <w:rPr>
              <w:rFonts w:hint="eastAsia" w:ascii="宋体" w:hAnsi="宋体" w:eastAsia="宋体" w:cs="宋体"/>
            </w:rPr>
            <w:t>6.调研目的与意义</w:t>
          </w:r>
          <w:r>
            <w:tab/>
          </w:r>
          <w:r>
            <w:fldChar w:fldCharType="begin"/>
          </w:r>
          <w:r>
            <w:instrText xml:space="preserve"> PAGEREF _Toc6374 \h </w:instrText>
          </w:r>
          <w:r>
            <w:fldChar w:fldCharType="separate"/>
          </w:r>
          <w:r>
            <w:t>4</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_Toc12119 </w:instrText>
          </w:r>
          <w:r>
            <w:rPr>
              <w:rFonts w:hint="eastAsia" w:ascii="宋体" w:hAnsi="宋体" w:eastAsia="宋体" w:cs="宋体"/>
              <w:bCs/>
              <w:lang w:val="zh-CN"/>
            </w:rPr>
            <w:fldChar w:fldCharType="separate"/>
          </w:r>
          <w:r>
            <w:rPr>
              <w:rFonts w:hint="eastAsia" w:ascii="宋体" w:hAnsi="宋体" w:eastAsia="宋体" w:cs="宋体"/>
              <w:szCs w:val="21"/>
            </w:rPr>
            <w:t>6.1洞悉婴童产品市场宏观发展趋势与重点品类发展趋势</w:t>
          </w:r>
          <w:r>
            <w:tab/>
          </w:r>
          <w:r>
            <w:fldChar w:fldCharType="begin"/>
          </w:r>
          <w:r>
            <w:instrText xml:space="preserve"> PAGEREF _Toc12119 \h </w:instrText>
          </w:r>
          <w:r>
            <w:fldChar w:fldCharType="separate"/>
          </w:r>
          <w:r>
            <w:t>4</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_Toc19735 </w:instrText>
          </w:r>
          <w:r>
            <w:rPr>
              <w:rFonts w:hint="eastAsia" w:ascii="宋体" w:hAnsi="宋体" w:eastAsia="宋体" w:cs="宋体"/>
              <w:bCs/>
              <w:lang w:val="zh-CN"/>
            </w:rPr>
            <w:fldChar w:fldCharType="separate"/>
          </w:r>
          <w:r>
            <w:rPr>
              <w:rFonts w:hint="eastAsia" w:ascii="宋体" w:hAnsi="宋体" w:eastAsia="宋体" w:cs="宋体"/>
              <w:szCs w:val="21"/>
            </w:rPr>
            <w:t>6.2分析目标客户（婴童人群）画像，实现产品与服务新益求新</w:t>
          </w:r>
          <w:r>
            <w:tab/>
          </w:r>
          <w:r>
            <w:fldChar w:fldCharType="begin"/>
          </w:r>
          <w:r>
            <w:instrText xml:space="preserve"> PAGEREF _Toc19735 \h </w:instrText>
          </w:r>
          <w:r>
            <w:fldChar w:fldCharType="separate"/>
          </w:r>
          <w:r>
            <w:t>4</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_Toc21010 </w:instrText>
          </w:r>
          <w:r>
            <w:rPr>
              <w:rFonts w:hint="eastAsia" w:ascii="宋体" w:hAnsi="宋体" w:eastAsia="宋体" w:cs="宋体"/>
              <w:bCs/>
              <w:lang w:val="zh-CN"/>
            </w:rPr>
            <w:fldChar w:fldCharType="separate"/>
          </w:r>
          <w:r>
            <w:rPr>
              <w:rFonts w:hint="eastAsia" w:ascii="宋体" w:hAnsi="宋体" w:eastAsia="宋体" w:cs="宋体"/>
              <w:szCs w:val="21"/>
            </w:rPr>
            <w:t>6.3贴合婴童群体需求，帮助实现流量转化</w:t>
          </w:r>
          <w:r>
            <w:tab/>
          </w:r>
          <w:r>
            <w:fldChar w:fldCharType="begin"/>
          </w:r>
          <w:r>
            <w:instrText xml:space="preserve"> PAGEREF _Toc21010 \h </w:instrText>
          </w:r>
          <w:r>
            <w:fldChar w:fldCharType="separate"/>
          </w:r>
          <w:r>
            <w:t>4</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_Toc25632 </w:instrText>
          </w:r>
          <w:r>
            <w:rPr>
              <w:rFonts w:hint="eastAsia" w:ascii="宋体" w:hAnsi="宋体" w:eastAsia="宋体" w:cs="宋体"/>
              <w:bCs/>
              <w:lang w:val="zh-CN"/>
            </w:rPr>
            <w:fldChar w:fldCharType="separate"/>
          </w:r>
          <w:r>
            <w:rPr>
              <w:rFonts w:hint="eastAsia" w:ascii="宋体" w:hAnsi="宋体" w:eastAsia="宋体" w:cs="宋体"/>
            </w:rPr>
            <w:t>1.调研对象设计</w:t>
          </w:r>
          <w:r>
            <w:tab/>
          </w:r>
          <w:r>
            <w:fldChar w:fldCharType="begin"/>
          </w:r>
          <w:r>
            <w:instrText xml:space="preserve"> PAGEREF _Toc25632 \h </w:instrText>
          </w:r>
          <w:r>
            <w:fldChar w:fldCharType="separate"/>
          </w:r>
          <w:r>
            <w:t>6</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_Toc22506 </w:instrText>
          </w:r>
          <w:r>
            <w:rPr>
              <w:rFonts w:hint="eastAsia" w:ascii="宋体" w:hAnsi="宋体" w:eastAsia="宋体" w:cs="宋体"/>
              <w:bCs/>
              <w:lang w:val="zh-CN"/>
            </w:rPr>
            <w:fldChar w:fldCharType="separate"/>
          </w:r>
          <w:r>
            <w:rPr>
              <w:rFonts w:hint="eastAsia" w:ascii="宋体" w:hAnsi="宋体" w:eastAsia="宋体" w:cs="宋体"/>
            </w:rPr>
            <w:t>2.调研方法设计</w:t>
          </w:r>
          <w:r>
            <w:tab/>
          </w:r>
          <w:r>
            <w:fldChar w:fldCharType="begin"/>
          </w:r>
          <w:r>
            <w:instrText xml:space="preserve"> PAGEREF _Toc22506 \h </w:instrText>
          </w:r>
          <w:r>
            <w:fldChar w:fldCharType="separate"/>
          </w:r>
          <w:r>
            <w:t>6</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_Toc6109 </w:instrText>
          </w:r>
          <w:r>
            <w:rPr>
              <w:rFonts w:hint="eastAsia" w:ascii="宋体" w:hAnsi="宋体" w:eastAsia="宋体" w:cs="宋体"/>
              <w:bCs/>
              <w:lang w:val="zh-CN"/>
            </w:rPr>
            <w:fldChar w:fldCharType="separate"/>
          </w:r>
          <w:r>
            <w:rPr>
              <w:rFonts w:hint="eastAsia" w:ascii="宋体" w:hAnsi="宋体" w:eastAsia="宋体" w:cs="宋体"/>
            </w:rPr>
            <w:t>3.调研范围设计</w:t>
          </w:r>
          <w:r>
            <w:tab/>
          </w:r>
          <w:r>
            <w:fldChar w:fldCharType="begin"/>
          </w:r>
          <w:r>
            <w:instrText xml:space="preserve"> PAGEREF _Toc6109 \h </w:instrText>
          </w:r>
          <w:r>
            <w:fldChar w:fldCharType="separate"/>
          </w:r>
          <w:r>
            <w:t>7</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_Toc31358 </w:instrText>
          </w:r>
          <w:r>
            <w:rPr>
              <w:rFonts w:hint="eastAsia" w:ascii="宋体" w:hAnsi="宋体" w:eastAsia="宋体" w:cs="宋体"/>
              <w:bCs/>
              <w:lang w:val="zh-CN"/>
            </w:rPr>
            <w:fldChar w:fldCharType="separate"/>
          </w:r>
          <w:r>
            <w:rPr>
              <w:rFonts w:hint="eastAsia" w:ascii="宋体" w:hAnsi="宋体" w:eastAsia="宋体" w:cs="宋体"/>
            </w:rPr>
            <w:t>4.数据的获取</w:t>
          </w:r>
          <w:r>
            <w:tab/>
          </w:r>
          <w:r>
            <w:fldChar w:fldCharType="begin"/>
          </w:r>
          <w:r>
            <w:instrText xml:space="preserve"> PAGEREF _Toc31358 \h </w:instrText>
          </w:r>
          <w:r>
            <w:fldChar w:fldCharType="separate"/>
          </w:r>
          <w:r>
            <w:t>7</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_Toc19936 </w:instrText>
          </w:r>
          <w:r>
            <w:rPr>
              <w:rFonts w:hint="eastAsia" w:ascii="宋体" w:hAnsi="宋体" w:eastAsia="宋体" w:cs="宋体"/>
              <w:bCs/>
              <w:lang w:val="zh-CN"/>
            </w:rPr>
            <w:fldChar w:fldCharType="separate"/>
          </w:r>
          <w:r>
            <w:rPr>
              <w:rFonts w:hint="eastAsia" w:ascii="宋体" w:hAnsi="宋体" w:eastAsia="宋体" w:cs="宋体"/>
            </w:rPr>
            <w:t>5.数据质量保证</w:t>
          </w:r>
          <w:r>
            <w:tab/>
          </w:r>
          <w:r>
            <w:fldChar w:fldCharType="begin"/>
          </w:r>
          <w:r>
            <w:instrText xml:space="preserve"> PAGEREF _Toc19936 \h </w:instrText>
          </w:r>
          <w:r>
            <w:fldChar w:fldCharType="separate"/>
          </w:r>
          <w:r>
            <w:t>7</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_Toc31195 </w:instrText>
          </w:r>
          <w:r>
            <w:rPr>
              <w:rFonts w:hint="eastAsia" w:ascii="宋体" w:hAnsi="宋体" w:eastAsia="宋体" w:cs="宋体"/>
              <w:bCs/>
              <w:lang w:val="zh-CN"/>
            </w:rPr>
            <w:fldChar w:fldCharType="separate"/>
          </w:r>
          <w:r>
            <w:rPr>
              <w:rFonts w:hint="eastAsia" w:ascii="宋体" w:hAnsi="宋体" w:eastAsia="宋体" w:cs="宋体"/>
              <w:szCs w:val="21"/>
            </w:rPr>
            <w:t>5.1数据质量——保障调研信度</w:t>
          </w:r>
          <w:r>
            <w:tab/>
          </w:r>
          <w:r>
            <w:fldChar w:fldCharType="begin"/>
          </w:r>
          <w:r>
            <w:instrText xml:space="preserve"> PAGEREF _Toc31195 \h </w:instrText>
          </w:r>
          <w:r>
            <w:fldChar w:fldCharType="separate"/>
          </w:r>
          <w:r>
            <w:t>7</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_Toc31672 </w:instrText>
          </w:r>
          <w:r>
            <w:rPr>
              <w:rFonts w:hint="eastAsia" w:ascii="宋体" w:hAnsi="宋体" w:eastAsia="宋体" w:cs="宋体"/>
              <w:bCs/>
              <w:lang w:val="zh-CN"/>
            </w:rPr>
            <w:fldChar w:fldCharType="separate"/>
          </w:r>
          <w:r>
            <w:rPr>
              <w:rFonts w:hint="eastAsia" w:ascii="宋体" w:hAnsi="宋体" w:eastAsia="宋体" w:cs="宋体"/>
              <w:szCs w:val="21"/>
            </w:rPr>
            <w:t>5.2样本代表性——保障调研效度</w:t>
          </w:r>
          <w:r>
            <w:tab/>
          </w:r>
          <w:r>
            <w:fldChar w:fldCharType="begin"/>
          </w:r>
          <w:r>
            <w:instrText xml:space="preserve"> PAGEREF _Toc31672 \h </w:instrText>
          </w:r>
          <w:r>
            <w:fldChar w:fldCharType="separate"/>
          </w:r>
          <w:r>
            <w:t>8</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_Toc15397 </w:instrText>
          </w:r>
          <w:r>
            <w:rPr>
              <w:rFonts w:hint="eastAsia" w:ascii="宋体" w:hAnsi="宋体" w:eastAsia="宋体" w:cs="宋体"/>
              <w:bCs/>
              <w:lang w:val="zh-CN"/>
            </w:rPr>
            <w:fldChar w:fldCharType="separate"/>
          </w:r>
          <w:r>
            <w:rPr>
              <w:rFonts w:hint="eastAsia" w:ascii="宋体" w:hAnsi="宋体" w:eastAsia="宋体" w:cs="宋体"/>
            </w:rPr>
            <w:t>1.数据收集过程</w:t>
          </w:r>
          <w:r>
            <w:tab/>
          </w:r>
          <w:r>
            <w:fldChar w:fldCharType="begin"/>
          </w:r>
          <w:r>
            <w:instrText xml:space="preserve"> PAGEREF _Toc15397 \h </w:instrText>
          </w:r>
          <w:r>
            <w:fldChar w:fldCharType="separate"/>
          </w:r>
          <w:r>
            <w:t>9</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_Toc25221 </w:instrText>
          </w:r>
          <w:r>
            <w:rPr>
              <w:rFonts w:hint="eastAsia" w:ascii="宋体" w:hAnsi="宋体" w:eastAsia="宋体" w:cs="宋体"/>
              <w:bCs/>
              <w:lang w:val="zh-CN"/>
            </w:rPr>
            <w:fldChar w:fldCharType="separate"/>
          </w:r>
          <w:r>
            <w:rPr>
              <w:rFonts w:hint="eastAsia" w:ascii="宋体" w:hAnsi="宋体" w:eastAsia="宋体" w:cs="宋体"/>
            </w:rPr>
            <w:t>2.数据预处理</w:t>
          </w:r>
          <w:r>
            <w:tab/>
          </w:r>
          <w:r>
            <w:fldChar w:fldCharType="begin"/>
          </w:r>
          <w:r>
            <w:instrText xml:space="preserve"> PAGEREF _Toc25221 \h </w:instrText>
          </w:r>
          <w:r>
            <w:fldChar w:fldCharType="separate"/>
          </w:r>
          <w:r>
            <w:t>9</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_Toc19294 </w:instrText>
          </w:r>
          <w:r>
            <w:rPr>
              <w:rFonts w:hint="eastAsia" w:ascii="宋体" w:hAnsi="宋体" w:eastAsia="宋体" w:cs="宋体"/>
              <w:bCs/>
              <w:lang w:val="zh-CN"/>
            </w:rPr>
            <w:fldChar w:fldCharType="separate"/>
          </w:r>
          <w:r>
            <w:rPr>
              <w:rFonts w:hint="eastAsia" w:ascii="宋体" w:hAnsi="宋体" w:eastAsia="宋体" w:cs="宋体"/>
            </w:rPr>
            <w:t>3.数据分析方法</w:t>
          </w:r>
          <w:r>
            <w:tab/>
          </w:r>
          <w:r>
            <w:fldChar w:fldCharType="begin"/>
          </w:r>
          <w:r>
            <w:instrText xml:space="preserve"> PAGEREF _Toc19294 \h </w:instrText>
          </w:r>
          <w:r>
            <w:fldChar w:fldCharType="separate"/>
          </w:r>
          <w:r>
            <w:t>10</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_Toc1050 </w:instrText>
          </w:r>
          <w:r>
            <w:rPr>
              <w:rFonts w:hint="eastAsia" w:ascii="宋体" w:hAnsi="宋体" w:eastAsia="宋体" w:cs="宋体"/>
              <w:bCs/>
              <w:lang w:val="zh-CN"/>
            </w:rPr>
            <w:fldChar w:fldCharType="separate"/>
          </w:r>
          <w:r>
            <w:rPr>
              <w:rFonts w:hint="eastAsia" w:ascii="宋体" w:hAnsi="宋体" w:eastAsia="宋体" w:cs="宋体"/>
              <w:szCs w:val="21"/>
            </w:rPr>
            <w:t>3.1问卷数据调查分析</w:t>
          </w:r>
          <w:r>
            <w:tab/>
          </w:r>
          <w:r>
            <w:fldChar w:fldCharType="begin"/>
          </w:r>
          <w:r>
            <w:instrText xml:space="preserve"> PAGEREF _Toc1050 \h </w:instrText>
          </w:r>
          <w:r>
            <w:fldChar w:fldCharType="separate"/>
          </w:r>
          <w:r>
            <w:t>10</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_Toc10877 </w:instrText>
          </w:r>
          <w:r>
            <w:rPr>
              <w:rFonts w:hint="eastAsia" w:ascii="宋体" w:hAnsi="宋体" w:eastAsia="宋体" w:cs="宋体"/>
              <w:bCs/>
              <w:lang w:val="zh-CN"/>
            </w:rPr>
            <w:fldChar w:fldCharType="separate"/>
          </w:r>
          <w:r>
            <w:rPr>
              <w:rFonts w:hint="eastAsia" w:ascii="宋体" w:hAnsi="宋体" w:eastAsia="宋体" w:cs="宋体"/>
              <w:szCs w:val="21"/>
            </w:rPr>
            <w:t>3.2抖音数据分析</w:t>
          </w:r>
          <w:r>
            <w:tab/>
          </w:r>
          <w:r>
            <w:fldChar w:fldCharType="begin"/>
          </w:r>
          <w:r>
            <w:instrText xml:space="preserve"> PAGEREF _Toc10877 \h </w:instrText>
          </w:r>
          <w:r>
            <w:fldChar w:fldCharType="separate"/>
          </w:r>
          <w:r>
            <w:t>10</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_Toc1596 </w:instrText>
          </w:r>
          <w:r>
            <w:rPr>
              <w:rFonts w:hint="eastAsia" w:ascii="宋体" w:hAnsi="宋体" w:eastAsia="宋体" w:cs="宋体"/>
              <w:bCs/>
              <w:lang w:val="zh-CN"/>
            </w:rPr>
            <w:fldChar w:fldCharType="separate"/>
          </w:r>
          <w:r>
            <w:rPr>
              <w:rFonts w:hint="eastAsia" w:ascii="宋体" w:hAnsi="宋体" w:eastAsia="宋体" w:cs="宋体"/>
              <w:szCs w:val="21"/>
            </w:rPr>
            <w:t>3.3小红书等咨询分享平台</w:t>
          </w:r>
          <w:r>
            <w:tab/>
          </w:r>
          <w:r>
            <w:fldChar w:fldCharType="begin"/>
          </w:r>
          <w:r>
            <w:instrText xml:space="preserve"> PAGEREF _Toc1596 \h </w:instrText>
          </w:r>
          <w:r>
            <w:fldChar w:fldCharType="separate"/>
          </w:r>
          <w:r>
            <w:t>10</w:t>
          </w:r>
          <w:r>
            <w:fldChar w:fldCharType="end"/>
          </w:r>
          <w:r>
            <w:rPr>
              <w:rFonts w:hint="eastAsia" w:ascii="宋体" w:hAnsi="宋体" w:eastAsia="宋体" w:cs="宋体"/>
              <w:bCs/>
              <w:lang w:val="zh-CN"/>
            </w:rPr>
            <w:fldChar w:fldCharType="end"/>
          </w:r>
        </w:p>
        <w:p>
          <w:pPr>
            <w:pStyle w:val="9"/>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_Toc1084 </w:instrText>
          </w:r>
          <w:r>
            <w:rPr>
              <w:rFonts w:hint="eastAsia" w:ascii="宋体" w:hAnsi="宋体" w:eastAsia="宋体" w:cs="宋体"/>
              <w:bCs/>
              <w:lang w:val="zh-CN"/>
            </w:rPr>
            <w:fldChar w:fldCharType="separate"/>
          </w:r>
          <w:r>
            <w:rPr>
              <w:rFonts w:hint="eastAsia" w:ascii="宋体" w:hAnsi="宋体" w:eastAsia="宋体" w:cs="宋体"/>
              <w:szCs w:val="28"/>
            </w:rPr>
            <w:t>四、分析结果解读</w:t>
          </w:r>
          <w:r>
            <w:tab/>
          </w:r>
          <w:r>
            <w:fldChar w:fldCharType="begin"/>
          </w:r>
          <w:r>
            <w:instrText xml:space="preserve"> PAGEREF _Toc1084 \h </w:instrText>
          </w:r>
          <w:r>
            <w:fldChar w:fldCharType="separate"/>
          </w:r>
          <w:r>
            <w:t>12</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_Toc7353 </w:instrText>
          </w:r>
          <w:r>
            <w:rPr>
              <w:rFonts w:hint="eastAsia" w:ascii="宋体" w:hAnsi="宋体" w:eastAsia="宋体" w:cs="宋体"/>
              <w:bCs/>
              <w:lang w:val="zh-CN"/>
            </w:rPr>
            <w:fldChar w:fldCharType="separate"/>
          </w:r>
          <w:r>
            <w:rPr>
              <w:rFonts w:hint="eastAsia" w:ascii="宋体" w:hAnsi="宋体" w:eastAsia="宋体" w:cs="宋体"/>
            </w:rPr>
            <w:t>1.婴童行业现状与趋势分析</w:t>
          </w:r>
          <w:r>
            <w:tab/>
          </w:r>
          <w:r>
            <w:fldChar w:fldCharType="begin"/>
          </w:r>
          <w:r>
            <w:instrText xml:space="preserve"> PAGEREF _Toc7353 \h </w:instrText>
          </w:r>
          <w:r>
            <w:fldChar w:fldCharType="separate"/>
          </w:r>
          <w:r>
            <w:t>12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_Toc2364 </w:instrText>
          </w:r>
          <w:r>
            <w:rPr>
              <w:rFonts w:hint="eastAsia" w:ascii="宋体" w:hAnsi="宋体" w:eastAsia="宋体" w:cs="宋体"/>
              <w:bCs/>
              <w:lang w:val="zh-CN"/>
            </w:rPr>
            <w:fldChar w:fldCharType="separate"/>
          </w:r>
          <w:r>
            <w:rPr>
              <w:rFonts w:hint="eastAsia" w:ascii="宋体" w:hAnsi="宋体" w:eastAsia="宋体" w:cs="宋体"/>
              <w:szCs w:val="21"/>
            </w:rPr>
            <w:t>1.1婴童市场宏观状况</w:t>
          </w:r>
          <w:r>
            <w:tab/>
          </w:r>
          <w:r>
            <w:fldChar w:fldCharType="begin"/>
          </w:r>
          <w:r>
            <w:instrText xml:space="preserve"> PAGEREF _Toc2364 \h </w:instrText>
          </w:r>
          <w:r>
            <w:fldChar w:fldCharType="separate"/>
          </w:r>
          <w:r>
            <w:t>12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_Toc6516 </w:instrText>
          </w:r>
          <w:r>
            <w:rPr>
              <w:rFonts w:hint="eastAsia" w:ascii="宋体" w:hAnsi="宋体" w:eastAsia="宋体" w:cs="宋体"/>
              <w:bCs/>
              <w:lang w:val="zh-CN"/>
            </w:rPr>
            <w:fldChar w:fldCharType="separate"/>
          </w:r>
          <w:r>
            <w:rPr>
              <w:rFonts w:hint="eastAsia" w:ascii="宋体" w:hAnsi="宋体" w:eastAsia="宋体" w:cs="宋体"/>
              <w:szCs w:val="21"/>
            </w:rPr>
            <w:t>1.2婴童重点品类分析</w:t>
          </w:r>
          <w:r>
            <w:tab/>
          </w:r>
          <w:r>
            <w:fldChar w:fldCharType="begin"/>
          </w:r>
          <w:r>
            <w:instrText xml:space="preserve"> PAGEREF _Toc6516 \h </w:instrText>
          </w:r>
          <w:r>
            <w:fldChar w:fldCharType="separate"/>
          </w:r>
          <w:r>
            <w:t>14</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_Toc16503 </w:instrText>
          </w:r>
          <w:r>
            <w:rPr>
              <w:rFonts w:hint="eastAsia" w:ascii="宋体" w:hAnsi="宋体" w:eastAsia="宋体" w:cs="宋体"/>
              <w:bCs/>
              <w:lang w:val="zh-CN"/>
            </w:rPr>
            <w:fldChar w:fldCharType="separate"/>
          </w:r>
          <w:r>
            <w:rPr>
              <w:rFonts w:hint="eastAsia" w:ascii="宋体" w:hAnsi="宋体" w:eastAsia="宋体" w:cs="宋体"/>
            </w:rPr>
            <w:t>2.用户分析</w:t>
          </w:r>
          <w:r>
            <w:tab/>
          </w:r>
          <w:r>
            <w:fldChar w:fldCharType="begin"/>
          </w:r>
          <w:r>
            <w:instrText xml:space="preserve"> PAGEREF _Toc16503 \h </w:instrText>
          </w:r>
          <w:r>
            <w:fldChar w:fldCharType="separate"/>
          </w:r>
          <w:r>
            <w:t>17</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_Toc31130 </w:instrText>
          </w:r>
          <w:r>
            <w:rPr>
              <w:rFonts w:hint="eastAsia" w:ascii="宋体" w:hAnsi="宋体" w:eastAsia="宋体" w:cs="宋体"/>
              <w:bCs/>
              <w:lang w:val="zh-CN"/>
            </w:rPr>
            <w:fldChar w:fldCharType="separate"/>
          </w:r>
          <w:r>
            <w:rPr>
              <w:rFonts w:hint="eastAsia" w:ascii="宋体" w:hAnsi="宋体" w:eastAsia="宋体" w:cs="宋体"/>
              <w:szCs w:val="21"/>
            </w:rPr>
            <w:t>2.1消费人群画像</w:t>
          </w:r>
          <w:r>
            <w:tab/>
          </w:r>
          <w:r>
            <w:fldChar w:fldCharType="begin"/>
          </w:r>
          <w:r>
            <w:instrText xml:space="preserve"> PAGEREF _Toc31130 \h </w:instrText>
          </w:r>
          <w:r>
            <w:fldChar w:fldCharType="separate"/>
          </w:r>
          <w:r>
            <w:t>17</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_Toc25626 </w:instrText>
          </w:r>
          <w:r>
            <w:rPr>
              <w:rFonts w:hint="eastAsia" w:ascii="宋体" w:hAnsi="宋体" w:eastAsia="宋体" w:cs="宋体"/>
              <w:bCs/>
              <w:lang w:val="zh-CN"/>
            </w:rPr>
            <w:fldChar w:fldCharType="separate"/>
          </w:r>
          <w:r>
            <w:rPr>
              <w:rFonts w:hint="eastAsia" w:ascii="宋体" w:hAnsi="宋体" w:eastAsia="宋体" w:cs="宋体"/>
              <w:szCs w:val="21"/>
            </w:rPr>
            <w:t>2.2生活消费态度</w:t>
          </w:r>
          <w:r>
            <w:tab/>
          </w:r>
          <w:r>
            <w:fldChar w:fldCharType="begin"/>
          </w:r>
          <w:r>
            <w:instrText xml:space="preserve"> PAGEREF _Toc25626 \h </w:instrText>
          </w:r>
          <w:r>
            <w:fldChar w:fldCharType="separate"/>
          </w:r>
          <w:r>
            <w:t>19</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_Toc16786 </w:instrText>
          </w:r>
          <w:r>
            <w:rPr>
              <w:rFonts w:hint="eastAsia" w:ascii="宋体" w:hAnsi="宋体" w:eastAsia="宋体" w:cs="宋体"/>
              <w:bCs/>
              <w:lang w:val="zh-CN"/>
            </w:rPr>
            <w:fldChar w:fldCharType="separate"/>
          </w:r>
          <w:r>
            <w:rPr>
              <w:rFonts w:hint="eastAsia" w:ascii="宋体" w:hAnsi="宋体" w:eastAsia="宋体" w:cs="宋体"/>
            </w:rPr>
            <w:t>3.婴童人群购物种草行为</w:t>
          </w:r>
          <w:r>
            <w:tab/>
          </w:r>
          <w:r>
            <w:fldChar w:fldCharType="begin"/>
          </w:r>
          <w:r>
            <w:instrText xml:space="preserve"> PAGEREF _Toc16786 \h </w:instrText>
          </w:r>
          <w:r>
            <w:fldChar w:fldCharType="separate"/>
          </w:r>
          <w:r>
            <w:t>20</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_Toc30257 </w:instrText>
          </w:r>
          <w:r>
            <w:rPr>
              <w:rFonts w:hint="eastAsia" w:ascii="宋体" w:hAnsi="宋体" w:eastAsia="宋体" w:cs="宋体"/>
              <w:bCs/>
              <w:lang w:val="zh-CN"/>
            </w:rPr>
            <w:fldChar w:fldCharType="separate"/>
          </w:r>
          <w:r>
            <w:rPr>
              <w:rFonts w:hint="eastAsia" w:ascii="宋体" w:hAnsi="宋体" w:eastAsia="宋体" w:cs="宋体"/>
              <w:szCs w:val="21"/>
            </w:rPr>
            <w:t>3.1婴童人群购物习惯及趋势</w:t>
          </w:r>
          <w:r>
            <w:tab/>
          </w:r>
          <w:r>
            <w:fldChar w:fldCharType="begin"/>
          </w:r>
          <w:r>
            <w:instrText xml:space="preserve"> PAGEREF _Toc30257 \h </w:instrText>
          </w:r>
          <w:r>
            <w:fldChar w:fldCharType="separate"/>
          </w:r>
          <w:r>
            <w:t>20</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_Toc17774 </w:instrText>
          </w:r>
          <w:r>
            <w:rPr>
              <w:rFonts w:hint="eastAsia" w:ascii="宋体" w:hAnsi="宋体" w:eastAsia="宋体" w:cs="宋体"/>
              <w:bCs/>
              <w:lang w:val="zh-CN"/>
            </w:rPr>
            <w:fldChar w:fldCharType="separate"/>
          </w:r>
          <w:r>
            <w:rPr>
              <w:rFonts w:hint="eastAsia" w:ascii="宋体" w:hAnsi="宋体" w:eastAsia="宋体" w:cs="宋体"/>
              <w:szCs w:val="21"/>
            </w:rPr>
            <w:t>3.2种草渠道偏好</w:t>
          </w:r>
          <w:r>
            <w:tab/>
          </w:r>
          <w:r>
            <w:fldChar w:fldCharType="begin"/>
          </w:r>
          <w:r>
            <w:instrText xml:space="preserve"> PAGEREF _Toc17774 \h </w:instrText>
          </w:r>
          <w:r>
            <w:fldChar w:fldCharType="separate"/>
          </w:r>
          <w:r>
            <w:t>20</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_Toc21464 </w:instrText>
          </w:r>
          <w:r>
            <w:rPr>
              <w:rFonts w:hint="eastAsia" w:ascii="宋体" w:hAnsi="宋体" w:eastAsia="宋体" w:cs="宋体"/>
              <w:bCs/>
              <w:lang w:val="zh-CN"/>
            </w:rPr>
            <w:fldChar w:fldCharType="separate"/>
          </w:r>
          <w:r>
            <w:rPr>
              <w:rFonts w:hint="eastAsia" w:ascii="宋体" w:hAnsi="宋体" w:eastAsia="宋体" w:cs="宋体"/>
              <w:szCs w:val="21"/>
            </w:rPr>
            <w:t>3.3偏好品类及形式</w:t>
          </w:r>
          <w:r>
            <w:tab/>
          </w:r>
          <w:r>
            <w:fldChar w:fldCharType="begin"/>
          </w:r>
          <w:r>
            <w:instrText xml:space="preserve"> PAGEREF _Toc21464 \h </w:instrText>
          </w:r>
          <w:r>
            <w:fldChar w:fldCharType="separate"/>
          </w:r>
          <w:r>
            <w:t>21</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_Toc10726 </w:instrText>
          </w:r>
          <w:r>
            <w:rPr>
              <w:rFonts w:hint="eastAsia" w:ascii="宋体" w:hAnsi="宋体" w:eastAsia="宋体" w:cs="宋体"/>
              <w:bCs/>
              <w:lang w:val="zh-CN"/>
            </w:rPr>
            <w:fldChar w:fldCharType="separate"/>
          </w:r>
          <w:r>
            <w:rPr>
              <w:rFonts w:hint="eastAsia" w:ascii="宋体" w:hAnsi="宋体" w:eastAsia="宋体" w:cs="宋体"/>
            </w:rPr>
            <w:t>4.婴童市场未来发展趋势分析</w:t>
          </w:r>
          <w:r>
            <w:tab/>
          </w:r>
          <w:r>
            <w:fldChar w:fldCharType="begin"/>
          </w:r>
          <w:r>
            <w:instrText xml:space="preserve"> PAGEREF _Toc10726 \h </w:instrText>
          </w:r>
          <w:r>
            <w:fldChar w:fldCharType="separate"/>
          </w:r>
          <w:r>
            <w:t>22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_Toc714 </w:instrText>
          </w:r>
          <w:r>
            <w:rPr>
              <w:rFonts w:hint="eastAsia" w:ascii="宋体" w:hAnsi="宋体" w:eastAsia="宋体" w:cs="宋体"/>
              <w:bCs/>
              <w:lang w:val="zh-CN"/>
            </w:rPr>
            <w:fldChar w:fldCharType="separate"/>
          </w:r>
          <w:r>
            <w:rPr>
              <w:rFonts w:hint="eastAsia" w:ascii="宋体" w:hAnsi="宋体" w:eastAsia="宋体" w:cs="宋体"/>
              <w:szCs w:val="21"/>
            </w:rPr>
            <w:t>4.1母婴快消品类销售渠道呈线上化趋势</w:t>
          </w:r>
          <w:r>
            <w:tab/>
          </w:r>
          <w:r>
            <w:fldChar w:fldCharType="begin"/>
          </w:r>
          <w:r>
            <w:instrText xml:space="preserve"> PAGEREF _Toc714 \h </w:instrText>
          </w:r>
          <w:r>
            <w:fldChar w:fldCharType="separate"/>
          </w:r>
          <w:r>
            <w:t>22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_Toc2594 </w:instrText>
          </w:r>
          <w:r>
            <w:rPr>
              <w:rFonts w:hint="eastAsia" w:ascii="宋体" w:hAnsi="宋体" w:eastAsia="宋体" w:cs="宋体"/>
              <w:bCs/>
              <w:lang w:val="zh-CN"/>
            </w:rPr>
            <w:fldChar w:fldCharType="separate"/>
          </w:r>
          <w:r>
            <w:rPr>
              <w:rFonts w:hint="eastAsia" w:ascii="宋体" w:hAnsi="宋体" w:eastAsia="宋体" w:cs="宋体"/>
              <w:szCs w:val="21"/>
            </w:rPr>
            <w:t>4.2母婴重点品类本土化趋势显著</w:t>
          </w:r>
          <w:r>
            <w:tab/>
          </w:r>
          <w:r>
            <w:fldChar w:fldCharType="begin"/>
          </w:r>
          <w:r>
            <w:instrText xml:space="preserve"> PAGEREF _Toc2594 \h </w:instrText>
          </w:r>
          <w:r>
            <w:fldChar w:fldCharType="separate"/>
          </w:r>
          <w:r>
            <w:t>22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_Toc5249 </w:instrText>
          </w:r>
          <w:r>
            <w:rPr>
              <w:rFonts w:hint="eastAsia" w:ascii="宋体" w:hAnsi="宋体" w:eastAsia="宋体" w:cs="宋体"/>
              <w:bCs/>
              <w:lang w:val="zh-CN"/>
            </w:rPr>
            <w:fldChar w:fldCharType="separate"/>
          </w:r>
          <w:r>
            <w:rPr>
              <w:rFonts w:hint="eastAsia" w:ascii="宋体" w:hAnsi="宋体" w:eastAsia="宋体" w:cs="宋体"/>
              <w:szCs w:val="21"/>
            </w:rPr>
            <w:t>4.3婴童产品价格有中端化趋势</w:t>
          </w:r>
          <w:r>
            <w:tab/>
          </w:r>
          <w:r>
            <w:fldChar w:fldCharType="begin"/>
          </w:r>
          <w:r>
            <w:instrText xml:space="preserve"> PAGEREF _Toc5249 \h </w:instrText>
          </w:r>
          <w:r>
            <w:fldChar w:fldCharType="separate"/>
          </w:r>
          <w:r>
            <w:t>23</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_Toc20702 </w:instrText>
          </w:r>
          <w:r>
            <w:rPr>
              <w:rFonts w:hint="eastAsia" w:ascii="宋体" w:hAnsi="宋体" w:eastAsia="宋体" w:cs="宋体"/>
              <w:bCs/>
              <w:lang w:val="zh-CN"/>
            </w:rPr>
            <w:fldChar w:fldCharType="separate"/>
          </w:r>
          <w:r>
            <w:rPr>
              <w:rFonts w:hint="eastAsia" w:ascii="宋体" w:hAnsi="宋体" w:eastAsia="宋体" w:cs="宋体"/>
              <w:szCs w:val="21"/>
            </w:rPr>
            <w:t>4.4消费需求细节化扩展，品牌方需深化产品设计能力和市场规模化能力</w:t>
          </w:r>
          <w:r>
            <w:tab/>
          </w:r>
          <w:r>
            <w:fldChar w:fldCharType="begin"/>
          </w:r>
          <w:r>
            <w:instrText xml:space="preserve"> PAGEREF _Toc20702 \h </w:instrText>
          </w:r>
          <w:r>
            <w:fldChar w:fldCharType="separate"/>
          </w:r>
          <w:r>
            <w:t>23</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_Toc4937 </w:instrText>
          </w:r>
          <w:r>
            <w:rPr>
              <w:rFonts w:hint="eastAsia" w:ascii="宋体" w:hAnsi="宋体" w:eastAsia="宋体" w:cs="宋体"/>
              <w:bCs/>
              <w:lang w:val="zh-CN"/>
            </w:rPr>
            <w:fldChar w:fldCharType="separate"/>
          </w:r>
          <w:r>
            <w:rPr>
              <w:rFonts w:hint="eastAsia" w:ascii="宋体" w:hAnsi="宋体" w:eastAsia="宋体" w:cs="宋体"/>
              <w:szCs w:val="21"/>
            </w:rPr>
            <w:t>4.5消费群体扩容：婴儿用品成人化使用趋势显著</w:t>
          </w:r>
          <w:r>
            <w:tab/>
          </w:r>
          <w:r>
            <w:fldChar w:fldCharType="begin"/>
          </w:r>
          <w:r>
            <w:instrText xml:space="preserve"> PAGEREF _Toc4937 \h </w:instrText>
          </w:r>
          <w:r>
            <w:fldChar w:fldCharType="separate"/>
          </w:r>
          <w:r>
            <w:t>24</w:t>
          </w:r>
          <w:r>
            <w:fldChar w:fldCharType="end"/>
          </w:r>
          <w:r>
            <w:rPr>
              <w:rFonts w:hint="eastAsia" w:ascii="宋体" w:hAnsi="宋体" w:eastAsia="宋体" w:cs="宋体"/>
              <w:bCs/>
              <w:lang w:val="zh-CN"/>
            </w:rPr>
            <w:fldChar w:fldCharType="end"/>
          </w:r>
        </w:p>
        <w:p>
          <w:pPr>
            <w:pStyle w:val="9"/>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_Toc1970 </w:instrText>
          </w:r>
          <w:r>
            <w:rPr>
              <w:rFonts w:hint="eastAsia" w:ascii="宋体" w:hAnsi="宋体" w:eastAsia="宋体" w:cs="宋体"/>
              <w:bCs/>
              <w:lang w:val="zh-CN"/>
            </w:rPr>
            <w:fldChar w:fldCharType="separate"/>
          </w:r>
          <w:r>
            <w:rPr>
              <w:rFonts w:hint="eastAsia" w:ascii="宋体" w:hAnsi="宋体" w:eastAsia="宋体" w:cs="宋体"/>
              <w:szCs w:val="28"/>
            </w:rPr>
            <w:t>五、产品营销策略</w:t>
          </w:r>
          <w:r>
            <w:tab/>
          </w:r>
          <w:r>
            <w:fldChar w:fldCharType="begin"/>
          </w:r>
          <w:r>
            <w:instrText xml:space="preserve"> PAGEREF _Toc1970 \h </w:instrText>
          </w:r>
          <w:r>
            <w:fldChar w:fldCharType="separate"/>
          </w:r>
          <w:r>
            <w:t>25</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_Toc20720 </w:instrText>
          </w:r>
          <w:r>
            <w:rPr>
              <w:rFonts w:hint="eastAsia" w:ascii="宋体" w:hAnsi="宋体" w:eastAsia="宋体" w:cs="宋体"/>
              <w:bCs/>
              <w:lang w:val="zh-CN"/>
            </w:rPr>
            <w:fldChar w:fldCharType="separate"/>
          </w:r>
          <w:r>
            <w:rPr>
              <w:rFonts w:hint="eastAsia" w:ascii="宋体" w:hAnsi="宋体" w:eastAsia="宋体" w:cs="宋体"/>
            </w:rPr>
            <w:t>1.策划目标</w:t>
          </w:r>
          <w:r>
            <w:tab/>
          </w:r>
          <w:r>
            <w:fldChar w:fldCharType="begin"/>
          </w:r>
          <w:r>
            <w:instrText xml:space="preserve"> PAGEREF _Toc20720 \h </w:instrText>
          </w:r>
          <w:r>
            <w:fldChar w:fldCharType="separate"/>
          </w:r>
          <w:r>
            <w:t>25</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_Toc13690 </w:instrText>
          </w:r>
          <w:r>
            <w:rPr>
              <w:rFonts w:hint="eastAsia" w:ascii="宋体" w:hAnsi="宋体" w:eastAsia="宋体" w:cs="宋体"/>
              <w:bCs/>
              <w:lang w:val="zh-CN"/>
            </w:rPr>
            <w:fldChar w:fldCharType="separate"/>
          </w:r>
          <w:r>
            <w:rPr>
              <w:rFonts w:hint="eastAsia" w:ascii="宋体" w:hAnsi="宋体" w:eastAsia="宋体" w:cs="宋体"/>
            </w:rPr>
            <w:t>2.STP战略分析</w:t>
          </w:r>
          <w:r>
            <w:tab/>
          </w:r>
          <w:r>
            <w:fldChar w:fldCharType="begin"/>
          </w:r>
          <w:r>
            <w:instrText xml:space="preserve"> PAGEREF _Toc13690 \h </w:instrText>
          </w:r>
          <w:r>
            <w:fldChar w:fldCharType="separate"/>
          </w:r>
          <w:r>
            <w:t>25</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_Toc27645 </w:instrText>
          </w:r>
          <w:r>
            <w:rPr>
              <w:rFonts w:hint="eastAsia" w:ascii="宋体" w:hAnsi="宋体" w:eastAsia="宋体" w:cs="宋体"/>
              <w:bCs/>
              <w:lang w:val="zh-CN"/>
            </w:rPr>
            <w:fldChar w:fldCharType="separate"/>
          </w:r>
          <w:r>
            <w:rPr>
              <w:rFonts w:hint="eastAsia" w:ascii="宋体" w:hAnsi="宋体" w:eastAsia="宋体" w:cs="宋体"/>
              <w:szCs w:val="21"/>
            </w:rPr>
            <w:t>2.1市场细分</w:t>
          </w:r>
          <w:r>
            <w:tab/>
          </w:r>
          <w:r>
            <w:fldChar w:fldCharType="begin"/>
          </w:r>
          <w:r>
            <w:instrText xml:space="preserve"> PAGEREF _Toc27645 \h </w:instrText>
          </w:r>
          <w:r>
            <w:fldChar w:fldCharType="separate"/>
          </w:r>
          <w:r>
            <w:t>25</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_Toc27966 </w:instrText>
          </w:r>
          <w:r>
            <w:rPr>
              <w:rFonts w:hint="eastAsia" w:ascii="宋体" w:hAnsi="宋体" w:eastAsia="宋体" w:cs="宋体"/>
              <w:bCs/>
              <w:lang w:val="zh-CN"/>
            </w:rPr>
            <w:fldChar w:fldCharType="separate"/>
          </w:r>
          <w:r>
            <w:rPr>
              <w:rFonts w:hint="eastAsia" w:ascii="宋体" w:hAnsi="宋体" w:eastAsia="宋体" w:cs="宋体"/>
              <w:szCs w:val="21"/>
            </w:rPr>
            <w:t>2.2目标市场选择</w:t>
          </w:r>
          <w:r>
            <w:tab/>
          </w:r>
          <w:r>
            <w:fldChar w:fldCharType="begin"/>
          </w:r>
          <w:r>
            <w:instrText xml:space="preserve"> PAGEREF _Toc27966 \h </w:instrText>
          </w:r>
          <w:r>
            <w:fldChar w:fldCharType="separate"/>
          </w:r>
          <w:r>
            <w:t>26</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_Toc18322 </w:instrText>
          </w:r>
          <w:r>
            <w:rPr>
              <w:rFonts w:hint="eastAsia" w:ascii="宋体" w:hAnsi="宋体" w:eastAsia="宋体" w:cs="宋体"/>
              <w:bCs/>
              <w:lang w:val="zh-CN"/>
            </w:rPr>
            <w:fldChar w:fldCharType="separate"/>
          </w:r>
          <w:r>
            <w:rPr>
              <w:rFonts w:hint="eastAsia" w:ascii="宋体" w:hAnsi="宋体" w:eastAsia="宋体" w:cs="宋体"/>
              <w:szCs w:val="21"/>
            </w:rPr>
            <w:t>2.3市场定位</w:t>
          </w:r>
          <w:r>
            <w:tab/>
          </w:r>
          <w:r>
            <w:fldChar w:fldCharType="begin"/>
          </w:r>
          <w:r>
            <w:instrText xml:space="preserve"> PAGEREF _Toc18322 \h </w:instrText>
          </w:r>
          <w:r>
            <w:fldChar w:fldCharType="separate"/>
          </w:r>
          <w:r>
            <w:t>26</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_Toc30976 </w:instrText>
          </w:r>
          <w:r>
            <w:rPr>
              <w:rFonts w:hint="eastAsia" w:ascii="宋体" w:hAnsi="宋体" w:eastAsia="宋体" w:cs="宋体"/>
              <w:bCs/>
              <w:lang w:val="zh-CN"/>
            </w:rPr>
            <w:fldChar w:fldCharType="separate"/>
          </w:r>
          <w:r>
            <w:rPr>
              <w:rFonts w:hint="eastAsia" w:ascii="宋体" w:hAnsi="宋体" w:eastAsia="宋体" w:cs="宋体"/>
            </w:rPr>
            <w:t>3.4P营销组合策略</w:t>
          </w:r>
          <w:r>
            <w:tab/>
          </w:r>
          <w:r>
            <w:fldChar w:fldCharType="begin"/>
          </w:r>
          <w:r>
            <w:instrText xml:space="preserve"> PAGEREF _Toc30976 \h </w:instrText>
          </w:r>
          <w:r>
            <w:fldChar w:fldCharType="separate"/>
          </w:r>
          <w:r>
            <w:t>27</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_Toc21348 </w:instrText>
          </w:r>
          <w:r>
            <w:rPr>
              <w:rFonts w:hint="eastAsia" w:ascii="宋体" w:hAnsi="宋体" w:eastAsia="宋体" w:cs="宋体"/>
              <w:bCs/>
              <w:lang w:val="zh-CN"/>
            </w:rPr>
            <w:fldChar w:fldCharType="separate"/>
          </w:r>
          <w:r>
            <w:rPr>
              <w:rFonts w:hint="eastAsia" w:ascii="宋体" w:hAnsi="宋体" w:eastAsia="宋体" w:cs="宋体"/>
              <w:szCs w:val="21"/>
            </w:rPr>
            <w:t>3.1产品策略</w:t>
          </w:r>
          <w:r>
            <w:tab/>
          </w:r>
          <w:r>
            <w:fldChar w:fldCharType="begin"/>
          </w:r>
          <w:r>
            <w:instrText xml:space="preserve"> PAGEREF _Toc21348 \h </w:instrText>
          </w:r>
          <w:r>
            <w:fldChar w:fldCharType="separate"/>
          </w:r>
          <w:r>
            <w:t>27</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_Toc10335 </w:instrText>
          </w:r>
          <w:r>
            <w:rPr>
              <w:rFonts w:hint="eastAsia" w:ascii="宋体" w:hAnsi="宋体" w:eastAsia="宋体" w:cs="宋体"/>
              <w:bCs/>
              <w:lang w:val="zh-CN"/>
            </w:rPr>
            <w:fldChar w:fldCharType="separate"/>
          </w:r>
          <w:r>
            <w:rPr>
              <w:rFonts w:hint="eastAsia" w:ascii="宋体" w:hAnsi="宋体" w:eastAsia="宋体" w:cs="宋体"/>
              <w:szCs w:val="21"/>
            </w:rPr>
            <w:t>3.2定价策略</w:t>
          </w:r>
          <w:r>
            <w:tab/>
          </w:r>
          <w:r>
            <w:fldChar w:fldCharType="begin"/>
          </w:r>
          <w:r>
            <w:instrText xml:space="preserve"> PAGEREF _Toc10335 \h </w:instrText>
          </w:r>
          <w:r>
            <w:fldChar w:fldCharType="separate"/>
          </w:r>
          <w:r>
            <w:t>28</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_Toc11373 </w:instrText>
          </w:r>
          <w:r>
            <w:rPr>
              <w:rFonts w:hint="eastAsia" w:ascii="宋体" w:hAnsi="宋体" w:eastAsia="宋体" w:cs="宋体"/>
              <w:bCs/>
              <w:lang w:val="zh-CN"/>
            </w:rPr>
            <w:fldChar w:fldCharType="separate"/>
          </w:r>
          <w:r>
            <w:rPr>
              <w:rFonts w:hint="eastAsia" w:ascii="宋体" w:hAnsi="宋体" w:eastAsia="宋体" w:cs="宋体"/>
              <w:szCs w:val="21"/>
            </w:rPr>
            <w:t>3.3渠道策略</w:t>
          </w:r>
          <w:r>
            <w:tab/>
          </w:r>
          <w:r>
            <w:fldChar w:fldCharType="begin"/>
          </w:r>
          <w:r>
            <w:instrText xml:space="preserve"> PAGEREF _Toc11373 \h </w:instrText>
          </w:r>
          <w:r>
            <w:fldChar w:fldCharType="separate"/>
          </w:r>
          <w:r>
            <w:t>29</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_Toc18673 </w:instrText>
          </w:r>
          <w:r>
            <w:rPr>
              <w:rFonts w:hint="eastAsia" w:ascii="宋体" w:hAnsi="宋体" w:eastAsia="宋体" w:cs="宋体"/>
              <w:bCs/>
              <w:lang w:val="zh-CN"/>
            </w:rPr>
            <w:fldChar w:fldCharType="separate"/>
          </w:r>
          <w:r>
            <w:rPr>
              <w:rFonts w:hint="eastAsia" w:ascii="宋体" w:hAnsi="宋体" w:eastAsia="宋体" w:cs="宋体"/>
              <w:szCs w:val="21"/>
            </w:rPr>
            <w:t>3.4促销策略</w:t>
          </w:r>
          <w:r>
            <w:tab/>
          </w:r>
          <w:r>
            <w:fldChar w:fldCharType="begin"/>
          </w:r>
          <w:r>
            <w:instrText xml:space="preserve"> PAGEREF _Toc18673 \h </w:instrText>
          </w:r>
          <w:r>
            <w:fldChar w:fldCharType="separate"/>
          </w:r>
          <w:r>
            <w:t>30</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_Toc9291 </w:instrText>
          </w:r>
          <w:r>
            <w:rPr>
              <w:rFonts w:hint="eastAsia" w:ascii="宋体" w:hAnsi="宋体" w:eastAsia="宋体" w:cs="宋体"/>
              <w:bCs/>
              <w:lang w:val="zh-CN"/>
            </w:rPr>
            <w:fldChar w:fldCharType="separate"/>
          </w:r>
          <w:r>
            <w:rPr>
              <w:rFonts w:hint="eastAsia" w:ascii="宋体" w:hAnsi="宋体" w:eastAsia="宋体" w:cs="宋体"/>
            </w:rPr>
            <w:t>4.用户联盟营销战略模式</w:t>
          </w:r>
          <w:r>
            <w:tab/>
          </w:r>
          <w:r>
            <w:fldChar w:fldCharType="begin"/>
          </w:r>
          <w:r>
            <w:instrText xml:space="preserve"> PAGEREF _Toc9291 \h </w:instrText>
          </w:r>
          <w:r>
            <w:fldChar w:fldCharType="separate"/>
          </w:r>
          <w:r>
            <w:t>31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_Toc16059 </w:instrText>
          </w:r>
          <w:r>
            <w:rPr>
              <w:rFonts w:hint="eastAsia" w:ascii="宋体" w:hAnsi="宋体" w:eastAsia="宋体" w:cs="宋体"/>
              <w:bCs/>
              <w:lang w:val="zh-CN"/>
            </w:rPr>
            <w:fldChar w:fldCharType="separate"/>
          </w:r>
          <w:r>
            <w:rPr>
              <w:rFonts w:hint="eastAsia" w:ascii="宋体" w:hAnsi="宋体" w:eastAsia="宋体" w:cs="宋体"/>
              <w:szCs w:val="21"/>
            </w:rPr>
            <w:t>4.1用户联盟简介</w:t>
          </w:r>
          <w:r>
            <w:tab/>
          </w:r>
          <w:r>
            <w:fldChar w:fldCharType="begin"/>
          </w:r>
          <w:r>
            <w:instrText xml:space="preserve"> PAGEREF _Toc16059 \h </w:instrText>
          </w:r>
          <w:r>
            <w:fldChar w:fldCharType="separate"/>
          </w:r>
          <w:r>
            <w:t>31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_Toc27745 </w:instrText>
          </w:r>
          <w:r>
            <w:rPr>
              <w:rFonts w:hint="eastAsia" w:ascii="宋体" w:hAnsi="宋体" w:eastAsia="宋体" w:cs="宋体"/>
              <w:bCs/>
              <w:lang w:val="zh-CN"/>
            </w:rPr>
            <w:fldChar w:fldCharType="separate"/>
          </w:r>
          <w:r>
            <w:rPr>
              <w:rFonts w:hint="eastAsia" w:ascii="宋体" w:hAnsi="宋体" w:eastAsia="宋体" w:cs="宋体"/>
              <w:szCs w:val="21"/>
            </w:rPr>
            <w:t>4.2用户联盟的合作策略</w:t>
          </w:r>
          <w:r>
            <w:tab/>
          </w:r>
          <w:r>
            <w:fldChar w:fldCharType="begin"/>
          </w:r>
          <w:r>
            <w:instrText xml:space="preserve"> PAGEREF _Toc27745 \h </w:instrText>
          </w:r>
          <w:r>
            <w:fldChar w:fldCharType="separate"/>
          </w:r>
          <w:r>
            <w:t>32</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_Toc9531 </w:instrText>
          </w:r>
          <w:r>
            <w:rPr>
              <w:rFonts w:hint="eastAsia" w:ascii="宋体" w:hAnsi="宋体" w:eastAsia="宋体" w:cs="宋体"/>
              <w:bCs/>
              <w:lang w:val="zh-CN"/>
            </w:rPr>
            <w:fldChar w:fldCharType="separate"/>
          </w:r>
          <w:r>
            <w:rPr>
              <w:rFonts w:hint="eastAsia" w:ascii="宋体" w:hAnsi="宋体" w:eastAsia="宋体" w:cs="宋体"/>
            </w:rPr>
            <w:t>1.资源维度</w:t>
          </w:r>
          <w:r>
            <w:tab/>
          </w:r>
          <w:r>
            <w:fldChar w:fldCharType="begin"/>
          </w:r>
          <w:r>
            <w:instrText xml:space="preserve"> PAGEREF _Toc9531 \h </w:instrText>
          </w:r>
          <w:r>
            <w:fldChar w:fldCharType="separate"/>
          </w:r>
          <w:r>
            <w:t>33</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_Toc19255 </w:instrText>
          </w:r>
          <w:r>
            <w:rPr>
              <w:rFonts w:hint="eastAsia" w:ascii="宋体" w:hAnsi="宋体" w:eastAsia="宋体" w:cs="宋体"/>
              <w:bCs/>
              <w:lang w:val="zh-CN"/>
            </w:rPr>
            <w:fldChar w:fldCharType="separate"/>
          </w:r>
          <w:r>
            <w:rPr>
              <w:rFonts w:hint="eastAsia" w:ascii="宋体" w:hAnsi="宋体" w:eastAsia="宋体" w:cs="宋体"/>
            </w:rPr>
            <w:t>2.成本维度</w:t>
          </w:r>
          <w:r>
            <w:tab/>
          </w:r>
          <w:r>
            <w:fldChar w:fldCharType="begin"/>
          </w:r>
          <w:r>
            <w:instrText xml:space="preserve"> PAGEREF _Toc19255 \h </w:instrText>
          </w:r>
          <w:r>
            <w:fldChar w:fldCharType="separate"/>
          </w:r>
          <w:r>
            <w:t>34</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_Toc26071 </w:instrText>
          </w:r>
          <w:r>
            <w:rPr>
              <w:rFonts w:hint="eastAsia" w:ascii="宋体" w:hAnsi="宋体" w:eastAsia="宋体" w:cs="宋体"/>
              <w:bCs/>
              <w:lang w:val="zh-CN"/>
            </w:rPr>
            <w:fldChar w:fldCharType="separate"/>
          </w:r>
          <w:r>
            <w:rPr>
              <w:rFonts w:hint="eastAsia" w:ascii="宋体" w:hAnsi="宋体" w:eastAsia="宋体" w:cs="宋体"/>
            </w:rPr>
            <w:t>3.时间维度</w:t>
          </w:r>
          <w:r>
            <w:tab/>
          </w:r>
          <w:r>
            <w:fldChar w:fldCharType="begin"/>
          </w:r>
          <w:r>
            <w:instrText xml:space="preserve"> PAGEREF _Toc26071 \h </w:instrText>
          </w:r>
          <w:r>
            <w:fldChar w:fldCharType="separate"/>
          </w:r>
          <w:r>
            <w:t>35</w:t>
          </w:r>
          <w:r>
            <w:fldChar w:fldCharType="end"/>
          </w:r>
          <w:r>
            <w:rPr>
              <w:rFonts w:hint="eastAsia" w:ascii="宋体" w:hAnsi="宋体" w:eastAsia="宋体" w:cs="宋体"/>
              <w:bCs/>
              <w:lang w:val="zh-CN"/>
            </w:rPr>
            <w:fldChar w:fldCharType="end"/>
          </w:r>
        </w:p>
        <w:p>
          <w:pPr>
            <w:pStyle w:val="9"/>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_Toc13742 </w:instrText>
          </w:r>
          <w:r>
            <w:rPr>
              <w:rFonts w:hint="eastAsia" w:ascii="宋体" w:hAnsi="宋体" w:eastAsia="宋体" w:cs="宋体"/>
              <w:bCs/>
              <w:lang w:val="zh-CN"/>
            </w:rPr>
            <w:fldChar w:fldCharType="separate"/>
          </w:r>
          <w:r>
            <w:rPr>
              <w:rFonts w:hint="eastAsia" w:ascii="宋体" w:hAnsi="宋体" w:eastAsia="宋体" w:cs="宋体"/>
              <w:szCs w:val="28"/>
            </w:rPr>
            <w:t>七.预期效果评价</w:t>
          </w:r>
          <w:r>
            <w:tab/>
          </w:r>
          <w:r>
            <w:fldChar w:fldCharType="begin"/>
          </w:r>
          <w:r>
            <w:instrText xml:space="preserve"> PAGEREF _Toc13742 \h </w:instrText>
          </w:r>
          <w:r>
            <w:fldChar w:fldCharType="separate"/>
          </w:r>
          <w:r>
            <w:t>36</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_Toc22192 </w:instrText>
          </w:r>
          <w:r>
            <w:rPr>
              <w:rFonts w:hint="eastAsia" w:ascii="宋体" w:hAnsi="宋体" w:eastAsia="宋体" w:cs="宋体"/>
              <w:bCs/>
              <w:lang w:val="zh-CN"/>
            </w:rPr>
            <w:fldChar w:fldCharType="separate"/>
          </w:r>
          <w:r>
            <w:rPr>
              <w:rFonts w:hint="eastAsia" w:ascii="宋体" w:hAnsi="宋体" w:eastAsia="宋体" w:cs="宋体"/>
            </w:rPr>
            <w:t>1.选取的评价标准</w:t>
          </w:r>
          <w:r>
            <w:tab/>
          </w:r>
          <w:r>
            <w:fldChar w:fldCharType="begin"/>
          </w:r>
          <w:r>
            <w:instrText xml:space="preserve"> PAGEREF _Toc22192 \h </w:instrText>
          </w:r>
          <w:r>
            <w:fldChar w:fldCharType="separate"/>
          </w:r>
          <w:r>
            <w:t>36</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_Toc13060 </w:instrText>
          </w:r>
          <w:r>
            <w:rPr>
              <w:rFonts w:hint="eastAsia" w:ascii="宋体" w:hAnsi="宋体" w:eastAsia="宋体" w:cs="宋体"/>
              <w:bCs/>
              <w:lang w:val="zh-CN"/>
            </w:rPr>
            <w:fldChar w:fldCharType="separate"/>
          </w:r>
          <w:r>
            <w:rPr>
              <w:rFonts w:hint="eastAsia" w:ascii="宋体" w:hAnsi="宋体" w:eastAsia="宋体" w:cs="宋体"/>
              <w:szCs w:val="21"/>
            </w:rPr>
            <w:t>1.1市场角度</w:t>
          </w:r>
          <w:r>
            <w:tab/>
          </w:r>
          <w:r>
            <w:fldChar w:fldCharType="begin"/>
          </w:r>
          <w:r>
            <w:instrText xml:space="preserve"> PAGEREF _Toc13060 \h </w:instrText>
          </w:r>
          <w:r>
            <w:fldChar w:fldCharType="separate"/>
          </w:r>
          <w:r>
            <w:t>36</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_Toc19757 </w:instrText>
          </w:r>
          <w:r>
            <w:rPr>
              <w:rFonts w:hint="eastAsia" w:ascii="宋体" w:hAnsi="宋体" w:eastAsia="宋体" w:cs="宋体"/>
              <w:bCs/>
              <w:lang w:val="zh-CN"/>
            </w:rPr>
            <w:fldChar w:fldCharType="separate"/>
          </w:r>
          <w:r>
            <w:rPr>
              <w:rFonts w:hint="eastAsia" w:ascii="宋体" w:hAnsi="宋体" w:eastAsia="宋体" w:cs="宋体"/>
              <w:szCs w:val="21"/>
            </w:rPr>
            <w:t>1.2客户角度</w:t>
          </w:r>
          <w:r>
            <w:tab/>
          </w:r>
          <w:r>
            <w:fldChar w:fldCharType="begin"/>
          </w:r>
          <w:r>
            <w:instrText xml:space="preserve"> PAGEREF _Toc19757 \h </w:instrText>
          </w:r>
          <w:r>
            <w:fldChar w:fldCharType="separate"/>
          </w:r>
          <w:r>
            <w:t>36</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_Toc27063 </w:instrText>
          </w:r>
          <w:r>
            <w:rPr>
              <w:rFonts w:hint="eastAsia" w:ascii="宋体" w:hAnsi="宋体" w:eastAsia="宋体" w:cs="宋体"/>
              <w:bCs/>
              <w:lang w:val="zh-CN"/>
            </w:rPr>
            <w:fldChar w:fldCharType="separate"/>
          </w:r>
          <w:r>
            <w:rPr>
              <w:rFonts w:hint="eastAsia" w:ascii="宋体" w:hAnsi="宋体" w:eastAsia="宋体" w:cs="宋体"/>
              <w:szCs w:val="21"/>
            </w:rPr>
            <w:t>1.3传播宣传角度</w:t>
          </w:r>
          <w:r>
            <w:tab/>
          </w:r>
          <w:r>
            <w:fldChar w:fldCharType="begin"/>
          </w:r>
          <w:r>
            <w:instrText xml:space="preserve"> PAGEREF _Toc27063 \h </w:instrText>
          </w:r>
          <w:r>
            <w:fldChar w:fldCharType="separate"/>
          </w:r>
          <w:r>
            <w:t>37</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_Toc10679 </w:instrText>
          </w:r>
          <w:r>
            <w:rPr>
              <w:rFonts w:hint="eastAsia" w:ascii="宋体" w:hAnsi="宋体" w:eastAsia="宋体" w:cs="宋体"/>
              <w:bCs/>
              <w:lang w:val="zh-CN"/>
            </w:rPr>
            <w:fldChar w:fldCharType="separate"/>
          </w:r>
          <w:r>
            <w:rPr>
              <w:rFonts w:hint="eastAsia" w:ascii="宋体" w:hAnsi="宋体" w:eastAsia="宋体" w:cs="宋体"/>
            </w:rPr>
            <w:t>2.预期效果</w:t>
          </w:r>
          <w:r>
            <w:tab/>
          </w:r>
          <w:r>
            <w:fldChar w:fldCharType="begin"/>
          </w:r>
          <w:r>
            <w:instrText xml:space="preserve"> PAGEREF _Toc10679 \h </w:instrText>
          </w:r>
          <w:r>
            <w:fldChar w:fldCharType="separate"/>
          </w:r>
          <w:r>
            <w:t>39</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_Toc25804 </w:instrText>
          </w:r>
          <w:r>
            <w:rPr>
              <w:rFonts w:hint="eastAsia" w:ascii="宋体" w:hAnsi="宋体" w:eastAsia="宋体" w:cs="宋体"/>
              <w:bCs/>
              <w:lang w:val="zh-CN"/>
            </w:rPr>
            <w:fldChar w:fldCharType="separate"/>
          </w:r>
          <w:r>
            <w:rPr>
              <w:rFonts w:asciiTheme="minorEastAsia" w:hAnsiTheme="minorEastAsia"/>
              <w:szCs w:val="21"/>
            </w:rPr>
            <w:t>2.1</w:t>
          </w:r>
          <w:r>
            <w:rPr>
              <w:rFonts w:hint="eastAsia" w:asciiTheme="minorEastAsia" w:hAnsiTheme="minorEastAsia"/>
              <w:szCs w:val="21"/>
            </w:rPr>
            <w:t>经济效益</w:t>
          </w:r>
          <w:r>
            <w:tab/>
          </w:r>
          <w:r>
            <w:fldChar w:fldCharType="begin"/>
          </w:r>
          <w:r>
            <w:instrText xml:space="preserve"> PAGEREF _Toc25804 \h </w:instrText>
          </w:r>
          <w:r>
            <w:fldChar w:fldCharType="separate"/>
          </w:r>
          <w:r>
            <w:t>39</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_Toc20095 </w:instrText>
          </w:r>
          <w:r>
            <w:rPr>
              <w:rFonts w:hint="eastAsia" w:ascii="宋体" w:hAnsi="宋体" w:eastAsia="宋体" w:cs="宋体"/>
              <w:bCs/>
              <w:lang w:val="zh-CN"/>
            </w:rPr>
            <w:fldChar w:fldCharType="separate"/>
          </w:r>
          <w:r>
            <w:rPr>
              <w:rFonts w:asciiTheme="minorEastAsia" w:hAnsiTheme="minorEastAsia"/>
              <w:szCs w:val="21"/>
            </w:rPr>
            <w:t>2.2</w:t>
          </w:r>
          <w:r>
            <w:rPr>
              <w:rFonts w:hint="eastAsia" w:asciiTheme="minorEastAsia" w:hAnsiTheme="minorEastAsia"/>
              <w:szCs w:val="21"/>
            </w:rPr>
            <w:t>品牌效益</w:t>
          </w:r>
          <w:r>
            <w:tab/>
          </w:r>
          <w:r>
            <w:fldChar w:fldCharType="begin"/>
          </w:r>
          <w:r>
            <w:instrText xml:space="preserve"> PAGEREF _Toc20095 \h </w:instrText>
          </w:r>
          <w:r>
            <w:fldChar w:fldCharType="separate"/>
          </w:r>
          <w:r>
            <w:t>39</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_Toc23558 </w:instrText>
          </w:r>
          <w:r>
            <w:rPr>
              <w:rFonts w:hint="eastAsia" w:ascii="宋体" w:hAnsi="宋体" w:eastAsia="宋体" w:cs="宋体"/>
              <w:bCs/>
              <w:lang w:val="zh-CN"/>
            </w:rPr>
            <w:fldChar w:fldCharType="separate"/>
          </w:r>
          <w:r>
            <w:rPr>
              <w:rFonts w:asciiTheme="minorEastAsia" w:hAnsiTheme="minorEastAsia"/>
              <w:szCs w:val="21"/>
            </w:rPr>
            <w:t>2.3</w:t>
          </w:r>
          <w:r>
            <w:rPr>
              <w:rFonts w:hint="eastAsia" w:asciiTheme="minorEastAsia" w:hAnsiTheme="minorEastAsia"/>
              <w:szCs w:val="21"/>
            </w:rPr>
            <w:t>社会效益</w:t>
          </w:r>
          <w:r>
            <w:tab/>
          </w:r>
          <w:r>
            <w:fldChar w:fldCharType="begin"/>
          </w:r>
          <w:r>
            <w:instrText xml:space="preserve"> PAGEREF _Toc23558 \h </w:instrText>
          </w:r>
          <w:r>
            <w:fldChar w:fldCharType="separate"/>
          </w:r>
          <w:r>
            <w:t>40</w:t>
          </w:r>
          <w:r>
            <w:fldChar w:fldCharType="end"/>
          </w:r>
          <w:r>
            <w:rPr>
              <w:rFonts w:hint="eastAsia" w:ascii="宋体" w:hAnsi="宋体" w:eastAsia="宋体" w:cs="宋体"/>
              <w:bCs/>
              <w:lang w:val="zh-CN"/>
            </w:rPr>
            <w:fldChar w:fldCharType="end"/>
          </w:r>
        </w:p>
        <w:p>
          <w:pPr>
            <w:pStyle w:val="9"/>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_Toc16706 </w:instrText>
          </w:r>
          <w:r>
            <w:rPr>
              <w:rFonts w:hint="eastAsia" w:ascii="宋体" w:hAnsi="宋体" w:eastAsia="宋体" w:cs="宋体"/>
              <w:bCs/>
              <w:lang w:val="zh-CN"/>
            </w:rPr>
            <w:fldChar w:fldCharType="separate"/>
          </w:r>
          <w:r>
            <w:rPr>
              <w:rFonts w:hint="eastAsia" w:ascii="宋体" w:hAnsi="宋体" w:eastAsia="宋体" w:cs="宋体"/>
              <w:szCs w:val="28"/>
            </w:rPr>
            <w:t>八、项目总结与建议</w:t>
          </w:r>
          <w:r>
            <w:tab/>
          </w:r>
          <w:r>
            <w:fldChar w:fldCharType="begin"/>
          </w:r>
          <w:r>
            <w:instrText xml:space="preserve"> PAGEREF _Toc16706 \h </w:instrText>
          </w:r>
          <w:r>
            <w:fldChar w:fldCharType="separate"/>
          </w:r>
          <w:r>
            <w:t>41</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_Toc24330 </w:instrText>
          </w:r>
          <w:r>
            <w:rPr>
              <w:rFonts w:hint="eastAsia" w:ascii="宋体" w:hAnsi="宋体" w:eastAsia="宋体" w:cs="宋体"/>
              <w:bCs/>
              <w:lang w:val="zh-CN"/>
            </w:rPr>
            <w:fldChar w:fldCharType="separate"/>
          </w:r>
          <w:r>
            <w:rPr>
              <w:rFonts w:hint="eastAsia" w:ascii="宋体" w:hAnsi="宋体" w:eastAsia="宋体" w:cs="宋体"/>
            </w:rPr>
            <w:t>1.婴童市场调研总结</w:t>
          </w:r>
          <w:r>
            <w:tab/>
          </w:r>
          <w:r>
            <w:fldChar w:fldCharType="begin"/>
          </w:r>
          <w:r>
            <w:instrText xml:space="preserve"> PAGEREF _Toc24330 \h </w:instrText>
          </w:r>
          <w:r>
            <w:fldChar w:fldCharType="separate"/>
          </w:r>
          <w:r>
            <w:t>41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_Toc30826 </w:instrText>
          </w:r>
          <w:r>
            <w:rPr>
              <w:rFonts w:hint="eastAsia" w:ascii="宋体" w:hAnsi="宋体" w:eastAsia="宋体" w:cs="宋体"/>
              <w:bCs/>
              <w:lang w:val="zh-CN"/>
            </w:rPr>
            <w:fldChar w:fldCharType="separate"/>
          </w:r>
          <w:r>
            <w:rPr>
              <w:rFonts w:hint="eastAsia" w:ascii="宋体" w:hAnsi="宋体" w:eastAsia="宋体" w:cs="宋体"/>
              <w:szCs w:val="21"/>
            </w:rPr>
            <w:t>1.1 调研问题导向</w:t>
          </w:r>
          <w:r>
            <w:tab/>
          </w:r>
          <w:r>
            <w:fldChar w:fldCharType="begin"/>
          </w:r>
          <w:r>
            <w:instrText xml:space="preserve"> PAGEREF _Toc30826 \h </w:instrText>
          </w:r>
          <w:r>
            <w:fldChar w:fldCharType="separate"/>
          </w:r>
          <w:r>
            <w:t>41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_Toc655 </w:instrText>
          </w:r>
          <w:r>
            <w:rPr>
              <w:rFonts w:hint="eastAsia" w:ascii="宋体" w:hAnsi="宋体" w:eastAsia="宋体" w:cs="宋体"/>
              <w:bCs/>
              <w:lang w:val="zh-CN"/>
            </w:rPr>
            <w:fldChar w:fldCharType="separate"/>
          </w:r>
          <w:r>
            <w:rPr>
              <w:rFonts w:hint="eastAsia" w:ascii="宋体" w:hAnsi="宋体" w:eastAsia="宋体" w:cs="宋体"/>
              <w:szCs w:val="21"/>
            </w:rPr>
            <w:t>1.2 信息收集与分析</w:t>
          </w:r>
          <w:r>
            <w:tab/>
          </w:r>
          <w:r>
            <w:fldChar w:fldCharType="begin"/>
          </w:r>
          <w:r>
            <w:instrText xml:space="preserve"> PAGEREF _Toc655 \h </w:instrText>
          </w:r>
          <w:r>
            <w:fldChar w:fldCharType="separate"/>
          </w:r>
          <w:r>
            <w:t>41</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_Toc5632 </w:instrText>
          </w:r>
          <w:r>
            <w:rPr>
              <w:rFonts w:hint="eastAsia" w:ascii="宋体" w:hAnsi="宋体" w:eastAsia="宋体" w:cs="宋体"/>
              <w:bCs/>
              <w:lang w:val="zh-CN"/>
            </w:rPr>
            <w:fldChar w:fldCharType="separate"/>
          </w:r>
          <w:r>
            <w:rPr>
              <w:rFonts w:hint="eastAsia" w:ascii="宋体" w:hAnsi="宋体" w:eastAsia="宋体" w:cs="宋体"/>
            </w:rPr>
            <w:t>2.商业策划总结</w:t>
          </w:r>
          <w:r>
            <w:tab/>
          </w:r>
          <w:r>
            <w:fldChar w:fldCharType="begin"/>
          </w:r>
          <w:r>
            <w:instrText xml:space="preserve"> PAGEREF _Toc5632 \h </w:instrText>
          </w:r>
          <w:r>
            <w:fldChar w:fldCharType="separate"/>
          </w:r>
          <w:r>
            <w:t>41</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_Toc26623 </w:instrText>
          </w:r>
          <w:r>
            <w:rPr>
              <w:rFonts w:hint="eastAsia" w:ascii="宋体" w:hAnsi="宋体" w:eastAsia="宋体" w:cs="宋体"/>
              <w:bCs/>
              <w:lang w:val="zh-CN"/>
            </w:rPr>
            <w:fldChar w:fldCharType="separate"/>
          </w:r>
          <w:r>
            <w:rPr>
              <w:rFonts w:hint="eastAsia" w:ascii="宋体" w:hAnsi="宋体" w:eastAsia="宋体" w:cs="宋体"/>
            </w:rPr>
            <w:t>3.价值与意义</w:t>
          </w:r>
          <w:r>
            <w:tab/>
          </w:r>
          <w:r>
            <w:fldChar w:fldCharType="begin"/>
          </w:r>
          <w:r>
            <w:instrText xml:space="preserve"> PAGEREF _Toc26623 \h </w:instrText>
          </w:r>
          <w:r>
            <w:fldChar w:fldCharType="separate"/>
          </w:r>
          <w:r>
            <w:t>42</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_Toc10046 </w:instrText>
          </w:r>
          <w:r>
            <w:rPr>
              <w:rFonts w:hint="eastAsia" w:ascii="宋体" w:hAnsi="宋体" w:eastAsia="宋体" w:cs="宋体"/>
              <w:bCs/>
              <w:lang w:val="zh-CN"/>
            </w:rPr>
            <w:fldChar w:fldCharType="separate"/>
          </w:r>
          <w:r>
            <w:rPr>
              <w:rFonts w:hint="eastAsia" w:ascii="宋体" w:hAnsi="宋体" w:eastAsia="宋体" w:cs="宋体"/>
            </w:rPr>
            <w:t>4.相关策略建议</w:t>
          </w:r>
          <w:r>
            <w:tab/>
          </w:r>
          <w:r>
            <w:fldChar w:fldCharType="begin"/>
          </w:r>
          <w:r>
            <w:instrText xml:space="preserve"> PAGEREF _Toc10046 \h </w:instrText>
          </w:r>
          <w:r>
            <w:fldChar w:fldCharType="separate"/>
          </w:r>
          <w:r>
            <w:t>42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_Toc31545 </w:instrText>
          </w:r>
          <w:r>
            <w:rPr>
              <w:rFonts w:hint="eastAsia" w:ascii="宋体" w:hAnsi="宋体" w:eastAsia="宋体" w:cs="宋体"/>
              <w:bCs/>
              <w:lang w:val="zh-CN"/>
            </w:rPr>
            <w:fldChar w:fldCharType="separate"/>
          </w:r>
          <w:r>
            <w:rPr>
              <w:rFonts w:hint="eastAsia" w:ascii="宋体" w:hAnsi="宋体" w:eastAsia="宋体" w:cs="宋体"/>
              <w:szCs w:val="21"/>
            </w:rPr>
            <w:t>4.1提升产品</w:t>
          </w:r>
          <w:r>
            <w:rPr>
              <w:rFonts w:hint="eastAsia" w:ascii="宋体" w:hAnsi="宋体" w:eastAsia="宋体" w:cs="宋体"/>
              <w:szCs w:val="21"/>
              <w:lang w:val="en-US" w:eastAsia="zh-CN"/>
            </w:rPr>
            <w:t>竞争</w:t>
          </w:r>
          <w:r>
            <w:rPr>
              <w:rFonts w:hint="eastAsia" w:ascii="宋体" w:hAnsi="宋体" w:eastAsia="宋体" w:cs="宋体"/>
              <w:szCs w:val="21"/>
            </w:rPr>
            <w:t>力</w:t>
          </w:r>
          <w:r>
            <w:tab/>
          </w:r>
          <w:r>
            <w:fldChar w:fldCharType="begin"/>
          </w:r>
          <w:r>
            <w:instrText xml:space="preserve"> PAGEREF _Toc31545 \h </w:instrText>
          </w:r>
          <w:r>
            <w:fldChar w:fldCharType="separate"/>
          </w:r>
          <w:r>
            <w:t>42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_Toc30163 </w:instrText>
          </w:r>
          <w:r>
            <w:rPr>
              <w:rFonts w:hint="eastAsia" w:ascii="宋体" w:hAnsi="宋体" w:eastAsia="宋体" w:cs="宋体"/>
              <w:bCs/>
              <w:lang w:val="zh-CN"/>
            </w:rPr>
            <w:fldChar w:fldCharType="separate"/>
          </w:r>
          <w:r>
            <w:rPr>
              <w:rFonts w:hint="eastAsia" w:ascii="宋体" w:hAnsi="宋体" w:eastAsia="宋体" w:cs="宋体"/>
              <w:szCs w:val="21"/>
            </w:rPr>
            <w:t>4.2线上线下渠道一体化</w:t>
          </w:r>
          <w:r>
            <w:tab/>
          </w:r>
          <w:r>
            <w:fldChar w:fldCharType="begin"/>
          </w:r>
          <w:r>
            <w:instrText xml:space="preserve"> PAGEREF _Toc30163 \h </w:instrText>
          </w:r>
          <w:r>
            <w:fldChar w:fldCharType="separate"/>
          </w:r>
          <w:r>
            <w:t>42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_Toc24405 </w:instrText>
          </w:r>
          <w:r>
            <w:rPr>
              <w:rFonts w:hint="eastAsia" w:ascii="宋体" w:hAnsi="宋体" w:eastAsia="宋体" w:cs="宋体"/>
              <w:bCs/>
              <w:lang w:val="zh-CN"/>
            </w:rPr>
            <w:fldChar w:fldCharType="separate"/>
          </w:r>
          <w:r>
            <w:rPr>
              <w:rFonts w:hint="eastAsia" w:ascii="宋体" w:hAnsi="宋体" w:eastAsia="宋体" w:cs="宋体"/>
              <w:szCs w:val="21"/>
            </w:rPr>
            <w:t>4.3多元价格策略</w:t>
          </w:r>
          <w:r>
            <w:tab/>
          </w:r>
          <w:r>
            <w:fldChar w:fldCharType="begin"/>
          </w:r>
          <w:r>
            <w:instrText xml:space="preserve"> PAGEREF _Toc24405 \h </w:instrText>
          </w:r>
          <w:r>
            <w:fldChar w:fldCharType="separate"/>
          </w:r>
          <w:r>
            <w:t>42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_Toc8205 </w:instrText>
          </w:r>
          <w:r>
            <w:rPr>
              <w:rFonts w:hint="eastAsia" w:ascii="宋体" w:hAnsi="宋体" w:eastAsia="宋体" w:cs="宋体"/>
              <w:bCs/>
              <w:lang w:val="zh-CN"/>
            </w:rPr>
            <w:fldChar w:fldCharType="separate"/>
          </w:r>
          <w:r>
            <w:rPr>
              <w:rFonts w:hint="eastAsia" w:ascii="宋体" w:hAnsi="宋体" w:eastAsia="宋体" w:cs="宋体"/>
              <w:szCs w:val="21"/>
            </w:rPr>
            <w:t>4.4提高品牌效应</w:t>
          </w:r>
          <w:r>
            <w:tab/>
          </w:r>
          <w:r>
            <w:fldChar w:fldCharType="begin"/>
          </w:r>
          <w:r>
            <w:instrText xml:space="preserve"> PAGEREF _Toc8205 \h </w:instrText>
          </w:r>
          <w:r>
            <w:fldChar w:fldCharType="separate"/>
          </w:r>
          <w:r>
            <w:t>42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_Toc2714 </w:instrText>
          </w:r>
          <w:r>
            <w:rPr>
              <w:rFonts w:hint="eastAsia" w:ascii="宋体" w:hAnsi="宋体" w:eastAsia="宋体" w:cs="宋体"/>
              <w:bCs/>
              <w:lang w:val="zh-CN"/>
            </w:rPr>
            <w:fldChar w:fldCharType="separate"/>
          </w:r>
          <w:r>
            <w:rPr>
              <w:rFonts w:hint="eastAsia" w:ascii="宋体" w:hAnsi="宋体" w:eastAsia="宋体" w:cs="宋体"/>
              <w:szCs w:val="21"/>
            </w:rPr>
            <w:t>4.5转型升级为综合性婴童企业</w:t>
          </w:r>
          <w:r>
            <w:tab/>
          </w:r>
          <w:r>
            <w:fldChar w:fldCharType="begin"/>
          </w:r>
          <w:r>
            <w:instrText xml:space="preserve"> PAGEREF _Toc2714 \h </w:instrText>
          </w:r>
          <w:r>
            <w:fldChar w:fldCharType="separate"/>
          </w:r>
          <w:r>
            <w:t>43</w:t>
          </w:r>
          <w:r>
            <w:fldChar w:fldCharType="end"/>
          </w:r>
          <w:r>
            <w:rPr>
              <w:rFonts w:hint="eastAsia" w:ascii="宋体" w:hAnsi="宋体" w:eastAsia="宋体" w:cs="宋体"/>
              <w:bCs/>
              <w:lang w:val="zh-CN"/>
            </w:rPr>
            <w:fldChar w:fldCharType="end"/>
          </w:r>
        </w:p>
        <w:p>
          <w:pPr>
            <w:pStyle w:val="9"/>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_Toc6020 </w:instrText>
          </w:r>
          <w:r>
            <w:rPr>
              <w:rFonts w:hint="eastAsia" w:ascii="宋体" w:hAnsi="宋体" w:eastAsia="宋体" w:cs="宋体"/>
              <w:bCs/>
              <w:lang w:val="zh-CN"/>
            </w:rPr>
            <w:fldChar w:fldCharType="separate"/>
          </w:r>
          <w:r>
            <w:rPr>
              <w:rFonts w:hint="eastAsia" w:ascii="宋体" w:hAnsi="宋体" w:eastAsia="宋体"/>
              <w:szCs w:val="21"/>
            </w:rPr>
            <w:t>参考文献</w:t>
          </w:r>
          <w:r>
            <w:tab/>
          </w:r>
          <w:r>
            <w:fldChar w:fldCharType="begin"/>
          </w:r>
          <w:r>
            <w:instrText xml:space="preserve"> PAGEREF _Toc6020 \h </w:instrText>
          </w:r>
          <w:r>
            <w:fldChar w:fldCharType="separate"/>
          </w:r>
          <w:r>
            <w:t>44</w:t>
          </w:r>
          <w:r>
            <w:fldChar w:fldCharType="end"/>
          </w:r>
          <w:r>
            <w:rPr>
              <w:rFonts w:hint="eastAsia" w:ascii="宋体" w:hAnsi="宋体" w:eastAsia="宋体" w:cs="宋体"/>
              <w:bCs/>
              <w:lang w:val="zh-CN"/>
            </w:rPr>
            <w:fldChar w:fldCharType="end"/>
          </w:r>
        </w:p>
        <w:p>
          <w:pPr>
            <w:spacing w:line="400" w:lineRule="exact"/>
            <w:rPr>
              <w:rFonts w:ascii="宋体" w:hAnsi="宋体" w:eastAsia="宋体" w:cs="宋体"/>
              <w:sz w:val="28"/>
              <w:szCs w:val="28"/>
            </w:rPr>
          </w:pPr>
          <w:r>
            <w:rPr>
              <w:rFonts w:hint="eastAsia" w:ascii="宋体" w:hAnsi="宋体" w:eastAsia="宋体" w:cs="宋体"/>
              <w:bCs/>
              <w:lang w:val="zh-CN"/>
            </w:rPr>
            <w:fldChar w:fldCharType="end"/>
          </w:r>
        </w:p>
      </w:sdtContent>
    </w:sdt>
    <w:p>
      <w:pPr>
        <w:spacing w:line="360" w:lineRule="auto"/>
        <w:rPr>
          <w:rFonts w:ascii="宋体" w:hAnsi="宋体" w:eastAsia="宋体" w:cs="宋体"/>
          <w:sz w:val="28"/>
          <w:szCs w:val="28"/>
        </w:rPr>
        <w:sectPr>
          <w:headerReference r:id="rId4" w:type="default"/>
          <w:footerReference r:id="rId5" w:type="default"/>
          <w:pgSz w:w="11906" w:h="16838"/>
          <w:pgMar w:top="1440" w:right="1800" w:bottom="1440" w:left="1800" w:header="851" w:footer="992" w:gutter="0"/>
          <w:pgNumType w:fmt="decimal" w:start="1"/>
          <w:cols w:space="425" w:num="1"/>
          <w:docGrid w:type="lines" w:linePitch="312" w:charSpace="0"/>
        </w:sectPr>
      </w:pPr>
    </w:p>
    <w:p>
      <w:pPr>
        <w:spacing w:line="360" w:lineRule="auto"/>
        <w:rPr>
          <w:rFonts w:eastAsia="黑体"/>
          <w:color w:val="000000"/>
          <w:sz w:val="28"/>
          <w:szCs w:val="28"/>
        </w:rPr>
      </w:pPr>
      <w:r>
        <w:rPr>
          <w:rFonts w:hint="eastAsia" w:eastAsia="黑体"/>
          <w:color w:val="000000"/>
          <w:sz w:val="28"/>
          <w:szCs w:val="28"/>
        </w:rPr>
        <w:t>第二部分：市场研究报告</w:t>
      </w:r>
    </w:p>
    <w:p>
      <w:pPr>
        <w:spacing w:line="360" w:lineRule="auto"/>
        <w:outlineLvl w:val="0"/>
        <w:rPr>
          <w:rFonts w:ascii="宋体" w:hAnsi="宋体" w:eastAsia="宋体" w:cs="宋体"/>
          <w:sz w:val="28"/>
          <w:szCs w:val="28"/>
        </w:rPr>
      </w:pPr>
      <w:bookmarkStart w:id="0" w:name="_Toc18913"/>
      <w:r>
        <w:rPr>
          <w:rFonts w:hint="eastAsia" w:ascii="宋体" w:hAnsi="宋体" w:eastAsia="宋体" w:cs="宋体"/>
          <w:sz w:val="28"/>
          <w:szCs w:val="28"/>
        </w:rPr>
        <w:t>一、调研背景与问题</w:t>
      </w:r>
      <w:bookmarkEnd w:id="0"/>
    </w:p>
    <w:p>
      <w:pPr>
        <w:spacing w:line="360" w:lineRule="auto"/>
        <w:outlineLvl w:val="1"/>
        <w:rPr>
          <w:rFonts w:ascii="宋体" w:hAnsi="宋体" w:eastAsia="宋体" w:cs="宋体"/>
          <w:sz w:val="24"/>
        </w:rPr>
      </w:pPr>
      <w:bookmarkStart w:id="1" w:name="_Toc12589"/>
      <w:r>
        <w:rPr>
          <w:rFonts w:hint="eastAsia" w:ascii="宋体" w:hAnsi="宋体" w:eastAsia="宋体" w:cs="宋体"/>
          <w:sz w:val="24"/>
        </w:rPr>
        <w:t>1.产业简介</w:t>
      </w:r>
      <w:bookmarkEnd w:id="1"/>
    </w:p>
    <w:p>
      <w:pPr>
        <w:spacing w:line="360" w:lineRule="auto"/>
        <w:ind w:firstLine="420" w:firstLineChars="200"/>
        <w:rPr>
          <w:rFonts w:ascii="宋体" w:hAnsi="宋体" w:eastAsia="宋体" w:cs="宋体"/>
          <w:szCs w:val="21"/>
        </w:rPr>
      </w:pPr>
      <w:r>
        <w:rPr>
          <w:rFonts w:hint="eastAsia" w:ascii="宋体" w:hAnsi="宋体" w:eastAsia="宋体" w:cs="宋体"/>
          <w:szCs w:val="21"/>
        </w:rPr>
        <w:t>婴童产品产业横跨婴童赛道、食品赛道及服装赛道等，是主要针对O-6岁婴幼儿群体衣、食、住、行等诸多需求的，涉及商品生产、零售、生活服务、教育、娱乐等多个方面的综合性消费行业。依据商品形态的不同，婴童产品产业可分为“产品”和“服务”两大板块。其中，产品板块主要包括食品（如奶粉、婴儿辅食等）、日用品（如纸尿裤、洗护用品等）、耐用品（如玩具、婴儿车床）、童装等；服务板块主要包括育儿和孕产妇相关服务。</w:t>
      </w:r>
    </w:p>
    <w:p>
      <w:pPr>
        <w:spacing w:line="360" w:lineRule="auto"/>
        <w:outlineLvl w:val="1"/>
        <w:rPr>
          <w:rFonts w:ascii="宋体" w:hAnsi="宋体" w:eastAsia="宋体" w:cs="宋体"/>
          <w:sz w:val="24"/>
        </w:rPr>
      </w:pPr>
      <w:bookmarkStart w:id="2" w:name="_Toc9884"/>
      <w:r>
        <w:rPr>
          <w:rFonts w:hint="eastAsia" w:ascii="宋体" w:hAnsi="宋体" w:eastAsia="宋体" w:cs="宋体"/>
          <w:sz w:val="24"/>
        </w:rPr>
        <w:t>2.客户群体</w:t>
      </w:r>
      <w:bookmarkEnd w:id="2"/>
    </w:p>
    <w:p>
      <w:pPr>
        <w:spacing w:line="360" w:lineRule="auto"/>
        <w:ind w:firstLine="420" w:firstLineChars="200"/>
        <w:rPr>
          <w:rFonts w:ascii="宋体" w:hAnsi="宋体" w:eastAsia="宋体" w:cs="宋体"/>
          <w:szCs w:val="21"/>
        </w:rPr>
      </w:pPr>
      <w:r>
        <w:rPr>
          <w:rFonts w:hint="eastAsia" w:ascii="宋体" w:hAnsi="宋体" w:eastAsia="宋体" w:cs="宋体"/>
          <w:szCs w:val="21"/>
        </w:rPr>
        <w:t>婴童产品市场的主要消费者为母亲（孕产妇）和婴童两大类，婴童产品的使用者虽然绝大多数为婴幼儿，但其消费决策者主要是母亲或其他家长，客户年龄段集中于25-40岁，图1所示为消费人群年龄分布：</w:t>
      </w:r>
    </w:p>
    <w:p>
      <w:pPr>
        <w:spacing w:line="360" w:lineRule="auto"/>
        <w:ind w:firstLine="420" w:firstLineChars="200"/>
        <w:rPr>
          <w:rFonts w:ascii="宋体" w:hAnsi="宋体" w:eastAsia="宋体" w:cs="宋体"/>
          <w:szCs w:val="21"/>
        </w:rPr>
      </w:pPr>
      <w:r>
        <w:rPr>
          <w:rFonts w:hint="eastAsia" w:ascii="宋体" w:hAnsi="宋体" w:eastAsia="宋体" w:cs="宋体"/>
          <w:szCs w:val="21"/>
        </w:rPr>
        <w:drawing>
          <wp:inline distT="0" distB="0" distL="114300" distR="114300">
            <wp:extent cx="4263390" cy="2326640"/>
            <wp:effectExtent l="0" t="0" r="3810" b="0"/>
            <wp:docPr id="17" name="图片 17" descr="C:\Users\HP\Desktop\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HP\Desktop\图片4.png图片4"/>
                    <pic:cNvPicPr>
                      <a:picLocks noChangeAspect="1"/>
                    </pic:cNvPicPr>
                  </pic:nvPicPr>
                  <pic:blipFill>
                    <a:blip r:embed="rId22"/>
                    <a:srcRect l="5803" t="13118" r="8417" b="12547"/>
                    <a:stretch>
                      <a:fillRect/>
                    </a:stretch>
                  </pic:blipFill>
                  <pic:spPr>
                    <a:xfrm>
                      <a:off x="0" y="0"/>
                      <a:ext cx="4265580" cy="2327535"/>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图1 中国婴童人群年龄分布</w:t>
      </w:r>
    </w:p>
    <w:p>
      <w:pPr>
        <w:spacing w:line="360" w:lineRule="auto"/>
        <w:outlineLvl w:val="1"/>
        <w:rPr>
          <w:rFonts w:ascii="宋体" w:hAnsi="宋体" w:eastAsia="宋体" w:cs="宋体"/>
          <w:sz w:val="24"/>
        </w:rPr>
      </w:pPr>
      <w:bookmarkStart w:id="3" w:name="_Toc20553"/>
      <w:r>
        <w:rPr>
          <w:rFonts w:hint="eastAsia" w:ascii="宋体" w:hAnsi="宋体" w:eastAsia="宋体" w:cs="宋体"/>
          <w:sz w:val="24"/>
        </w:rPr>
        <w:t>3.产品与服务</w:t>
      </w:r>
      <w:bookmarkEnd w:id="3"/>
    </w:p>
    <w:p>
      <w:pPr>
        <w:spacing w:line="360" w:lineRule="auto"/>
        <w:ind w:firstLine="420" w:firstLineChars="200"/>
        <w:rPr>
          <w:rFonts w:ascii="宋体" w:hAnsi="宋体" w:eastAsia="宋体" w:cs="宋体"/>
          <w:szCs w:val="21"/>
        </w:rPr>
      </w:pPr>
      <w:r>
        <w:rPr>
          <w:rFonts w:hint="eastAsia" w:ascii="宋体" w:hAnsi="宋体" w:eastAsia="宋体" w:cs="宋体"/>
          <w:szCs w:val="21"/>
        </w:rPr>
        <w:t>由于婴童产品产业涵盖衣、食、住、行、用等多个方面，并且具有很强的阶段性，由此在婴幼儿不同的年龄阶段，消费者的需求不同，从而消费的产品与服务也就大不相同，消费者需求的多样性推动了产品与服务的丰富性，具体分类如图2所示：</w:t>
      </w:r>
    </w:p>
    <w:p>
      <w:pPr>
        <w:spacing w:line="360" w:lineRule="auto"/>
        <w:ind w:firstLine="420" w:firstLineChars="200"/>
        <w:jc w:val="left"/>
        <w:rPr>
          <w:rFonts w:hint="eastAsia"/>
          <w:lang w:val="en-US" w:eastAsia="zh-CN"/>
        </w:rPr>
      </w:pPr>
      <w:r>
        <w:rPr>
          <w:rFonts w:hint="eastAsia"/>
          <w:lang w:val="en-US" w:eastAsia="zh-CN"/>
        </w:rPr>
        <w:t xml:space="preserve">  </w:t>
      </w:r>
    </w:p>
    <w:p>
      <w:pPr>
        <w:spacing w:line="360" w:lineRule="auto"/>
        <w:ind w:firstLine="420" w:firstLineChars="200"/>
        <w:jc w:val="center"/>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3375660" cy="4055110"/>
            <wp:effectExtent l="0" t="0" r="2540" b="889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23"/>
                    <a:stretch>
                      <a:fillRect/>
                    </a:stretch>
                  </pic:blipFill>
                  <pic:spPr>
                    <a:xfrm>
                      <a:off x="0" y="0"/>
                      <a:ext cx="3375660" cy="4055110"/>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图2 中国婴童产业主要产品与服务</w:t>
      </w:r>
    </w:p>
    <w:p>
      <w:pPr>
        <w:spacing w:line="360" w:lineRule="auto"/>
        <w:outlineLvl w:val="1"/>
        <w:rPr>
          <w:rFonts w:ascii="宋体" w:hAnsi="宋体" w:eastAsia="宋体" w:cs="宋体"/>
          <w:sz w:val="24"/>
        </w:rPr>
      </w:pPr>
      <w:bookmarkStart w:id="4" w:name="_Toc20870"/>
      <w:r>
        <w:rPr>
          <w:rFonts w:hint="eastAsia" w:ascii="宋体" w:hAnsi="宋体" w:eastAsia="宋体" w:cs="宋体"/>
          <w:sz w:val="24"/>
        </w:rPr>
        <w:t>4.企业概况</w:t>
      </w:r>
      <w:bookmarkEnd w:id="4"/>
    </w:p>
    <w:p>
      <w:pPr>
        <w:spacing w:line="360" w:lineRule="auto"/>
        <w:outlineLvl w:val="2"/>
        <w:rPr>
          <w:rFonts w:ascii="宋体" w:hAnsi="宋体" w:eastAsia="宋体" w:cs="宋体"/>
          <w:szCs w:val="21"/>
        </w:rPr>
      </w:pPr>
      <w:bookmarkStart w:id="5" w:name="_Toc15988"/>
      <w:r>
        <w:rPr>
          <w:rFonts w:hint="eastAsia" w:ascii="宋体" w:hAnsi="宋体" w:eastAsia="宋体" w:cs="宋体"/>
          <w:szCs w:val="21"/>
        </w:rPr>
        <w:t>4.1公司规模</w:t>
      </w:r>
      <w:bookmarkEnd w:id="5"/>
    </w:p>
    <w:p>
      <w:pPr>
        <w:spacing w:line="360" w:lineRule="auto"/>
        <w:ind w:firstLine="420" w:firstLineChars="200"/>
        <w:rPr>
          <w:rFonts w:ascii="宋体" w:hAnsi="宋体" w:eastAsia="宋体" w:cs="宋体"/>
          <w:szCs w:val="21"/>
        </w:rPr>
      </w:pPr>
      <w:r>
        <w:rPr>
          <w:rFonts w:hint="eastAsia" w:ascii="宋体" w:hAnsi="宋体" w:eastAsia="宋体" w:cs="宋体"/>
          <w:szCs w:val="21"/>
        </w:rPr>
        <w:t>好孩子食品（海南）有限公司成立于2022年02月11日，公司截至到目前有员工12人，其中采购和质量检测2人，运营6人，美工2人，售后及客服3人，其他财务及人事2人。公司截至到目前营业额：120万/月，月环比增长50%以上。</w:t>
      </w:r>
    </w:p>
    <w:p>
      <w:pPr>
        <w:spacing w:line="360" w:lineRule="auto"/>
        <w:outlineLvl w:val="2"/>
        <w:rPr>
          <w:rFonts w:ascii="宋体" w:hAnsi="宋体" w:eastAsia="宋体" w:cs="宋体"/>
          <w:szCs w:val="21"/>
        </w:rPr>
      </w:pPr>
      <w:bookmarkStart w:id="6" w:name="_Toc9071"/>
      <w:r>
        <w:rPr>
          <w:rFonts w:hint="eastAsia" w:ascii="宋体" w:hAnsi="宋体" w:eastAsia="宋体" w:cs="宋体"/>
          <w:szCs w:val="21"/>
        </w:rPr>
        <w:t>4.2主要经营的品类</w:t>
      </w:r>
      <w:bookmarkEnd w:id="6"/>
    </w:p>
    <w:p>
      <w:pPr>
        <w:spacing w:line="360" w:lineRule="auto"/>
        <w:ind w:firstLine="420" w:firstLineChars="200"/>
        <w:rPr>
          <w:rFonts w:ascii="宋体" w:hAnsi="宋体" w:eastAsia="宋体" w:cs="宋体"/>
          <w:szCs w:val="21"/>
        </w:rPr>
      </w:pPr>
      <w:r>
        <w:rPr>
          <w:rFonts w:hint="eastAsia" w:ascii="宋体" w:hAnsi="宋体" w:eastAsia="宋体" w:cs="宋体"/>
          <w:szCs w:val="21"/>
        </w:rPr>
        <w:t>婴童类目，婴童类目为两个方向，婴儿食品和儿童食品，主要有辅食、主食、零食、保健等，目前公司主要的经营方向：儿童主食和儿童零售。</w:t>
      </w:r>
    </w:p>
    <w:p>
      <w:pPr>
        <w:spacing w:line="360" w:lineRule="auto"/>
        <w:outlineLvl w:val="2"/>
        <w:rPr>
          <w:rFonts w:ascii="宋体" w:hAnsi="宋体" w:eastAsia="宋体" w:cs="宋体"/>
          <w:szCs w:val="21"/>
        </w:rPr>
      </w:pPr>
      <w:bookmarkStart w:id="7" w:name="_Toc14366"/>
      <w:r>
        <w:rPr>
          <w:rFonts w:hint="eastAsia" w:ascii="宋体" w:hAnsi="宋体" w:eastAsia="宋体" w:cs="宋体"/>
          <w:szCs w:val="21"/>
        </w:rPr>
        <w:t>4.3公司销售渠道</w:t>
      </w:r>
      <w:bookmarkEnd w:id="7"/>
    </w:p>
    <w:p>
      <w:pPr>
        <w:spacing w:line="360" w:lineRule="auto"/>
        <w:ind w:firstLine="420" w:firstLineChars="200"/>
        <w:rPr>
          <w:rFonts w:ascii="宋体" w:hAnsi="宋体" w:eastAsia="宋体" w:cs="宋体"/>
          <w:szCs w:val="21"/>
        </w:rPr>
      </w:pPr>
      <w:r>
        <w:rPr>
          <w:rFonts w:hint="eastAsia" w:ascii="宋体" w:hAnsi="宋体" w:eastAsia="宋体" w:cs="宋体"/>
          <w:szCs w:val="21"/>
        </w:rPr>
        <w:t>线上：天猫系（旗舰店及天猫超市）、拼多多系；</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待开发渠道：京东及抖音。</w:t>
      </w:r>
    </w:p>
    <w:p>
      <w:pPr>
        <w:spacing w:line="360" w:lineRule="auto"/>
        <w:outlineLvl w:val="2"/>
        <w:rPr>
          <w:rFonts w:hint="eastAsia" w:ascii="宋体" w:hAnsi="宋体" w:eastAsia="宋体" w:cs="宋体"/>
          <w:szCs w:val="21"/>
          <w:lang w:val="en-US" w:eastAsia="zh-CN"/>
        </w:rPr>
      </w:pPr>
      <w:bookmarkStart w:id="8" w:name="_Toc6751"/>
      <w:r>
        <w:rPr>
          <w:rFonts w:hint="eastAsia" w:ascii="宋体" w:hAnsi="宋体" w:eastAsia="宋体" w:cs="宋体"/>
          <w:szCs w:val="21"/>
          <w:lang w:val="en-US" w:eastAsia="zh-CN"/>
        </w:rPr>
        <w:t>4.4 企业定位及发展</w:t>
      </w:r>
      <w:bookmarkEnd w:id="8"/>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Cs w:val="21"/>
        </w:rPr>
      </w:pPr>
      <w:r>
        <w:rPr>
          <w:rFonts w:hint="eastAsia" w:ascii="宋体" w:hAnsi="宋体" w:eastAsia="宋体" w:cs="宋体"/>
          <w:szCs w:val="21"/>
          <w:lang w:val="en-US" w:eastAsia="zh-CN"/>
        </w:rPr>
        <w:t>根据相关数据分析，</w:t>
      </w:r>
      <w:r>
        <w:rPr>
          <w:rFonts w:hint="eastAsia" w:ascii="宋体" w:hAnsi="宋体" w:eastAsia="宋体" w:cs="宋体"/>
          <w:szCs w:val="21"/>
        </w:rPr>
        <w:t>好孩子食品（海南）有限公司</w:t>
      </w:r>
      <w:r>
        <w:rPr>
          <w:rFonts w:hint="eastAsia" w:ascii="宋体" w:hAnsi="宋体" w:eastAsia="宋体" w:cs="宋体"/>
          <w:szCs w:val="21"/>
          <w:lang w:val="en-US" w:eastAsia="zh-CN"/>
        </w:rPr>
        <w:t>是一家新兴婴童企业，位于企业发展的阶段的初创期，规模较小。作为初创小微企业，资金及相关资源有限，市场份额较小，品牌效应弱。但企业架构清晰，有明确的的品牌规划，线上与线下销售渠道发展较完善，经营状况良好，所以从整体来看，企业未来发展潜力大。</w:t>
      </w:r>
    </w:p>
    <w:p>
      <w:pPr>
        <w:spacing w:line="360" w:lineRule="auto"/>
        <w:outlineLvl w:val="1"/>
        <w:rPr>
          <w:rFonts w:ascii="宋体" w:hAnsi="宋体" w:eastAsia="宋体" w:cs="宋体"/>
          <w:sz w:val="24"/>
        </w:rPr>
      </w:pPr>
      <w:bookmarkStart w:id="9" w:name="_Toc4389"/>
      <w:r>
        <w:rPr>
          <w:rFonts w:hint="eastAsia" w:ascii="宋体" w:hAnsi="宋体" w:eastAsia="宋体" w:cs="宋体"/>
          <w:sz w:val="24"/>
        </w:rPr>
        <w:t>5.问题简述</w:t>
      </w:r>
      <w:bookmarkEnd w:id="9"/>
    </w:p>
    <w:p>
      <w:pPr>
        <w:spacing w:line="360" w:lineRule="auto"/>
        <w:ind w:firstLine="420" w:firstLineChars="200"/>
        <w:rPr>
          <w:rFonts w:ascii="宋体" w:hAnsi="宋体" w:eastAsia="宋体" w:cs="宋体"/>
          <w:szCs w:val="21"/>
        </w:rPr>
      </w:pPr>
      <w:r>
        <w:rPr>
          <w:rFonts w:hint="eastAsia" w:ascii="宋体" w:hAnsi="宋体" w:eastAsia="宋体" w:cs="宋体"/>
          <w:szCs w:val="21"/>
        </w:rPr>
        <w:t>（1）对婴童产品行业的市场现状、规模及发展趋势模糊，缺乏清晰定位；</w:t>
      </w:r>
    </w:p>
    <w:p>
      <w:pPr>
        <w:spacing w:line="360" w:lineRule="auto"/>
        <w:ind w:firstLine="420" w:firstLineChars="200"/>
        <w:rPr>
          <w:rFonts w:ascii="宋体" w:hAnsi="宋体" w:eastAsia="宋体" w:cs="宋体"/>
          <w:szCs w:val="21"/>
        </w:rPr>
      </w:pPr>
      <w:r>
        <w:rPr>
          <w:rFonts w:hint="eastAsia" w:ascii="宋体" w:hAnsi="宋体" w:eastAsia="宋体" w:cs="宋体"/>
          <w:szCs w:val="21"/>
        </w:rPr>
        <w:t>（2）结合企业初创情况，细分产品市场，分析重点品类发展趋势；</w:t>
      </w:r>
    </w:p>
    <w:p>
      <w:pPr>
        <w:spacing w:line="360" w:lineRule="auto"/>
        <w:ind w:firstLine="420" w:firstLineChars="200"/>
        <w:rPr>
          <w:rFonts w:ascii="宋体" w:hAnsi="宋体" w:eastAsia="宋体" w:cs="宋体"/>
          <w:szCs w:val="21"/>
        </w:rPr>
      </w:pPr>
      <w:r>
        <w:rPr>
          <w:rFonts w:hint="eastAsia" w:ascii="宋体" w:hAnsi="宋体" w:eastAsia="宋体" w:cs="宋体"/>
          <w:szCs w:val="21"/>
        </w:rPr>
        <w:t>（3）企业对目标用户需求缺乏精准把握，消费者购物习惯、趋势以及消费者偏好方面的分析欠缺。</w:t>
      </w:r>
    </w:p>
    <w:p>
      <w:pPr>
        <w:spacing w:line="360" w:lineRule="auto"/>
        <w:outlineLvl w:val="1"/>
        <w:rPr>
          <w:rFonts w:ascii="宋体" w:hAnsi="宋体" w:eastAsia="宋体" w:cs="宋体"/>
          <w:sz w:val="24"/>
        </w:rPr>
      </w:pPr>
      <w:r>
        <w:rPr>
          <w:rFonts w:ascii="宋体" w:hAnsi="宋体" w:eastAsia="宋体" w:cs="宋体"/>
          <w:sz w:val="24"/>
        </w:rPr>
        <w:br w:type="page"/>
      </w:r>
    </w:p>
    <w:p>
      <w:pPr>
        <w:spacing w:line="360" w:lineRule="auto"/>
        <w:outlineLvl w:val="1"/>
        <w:rPr>
          <w:rFonts w:ascii="宋体" w:hAnsi="宋体" w:eastAsia="宋体" w:cs="宋体"/>
          <w:sz w:val="24"/>
        </w:rPr>
      </w:pPr>
      <w:bookmarkStart w:id="10" w:name="_Toc6374"/>
      <w:r>
        <w:rPr>
          <w:rFonts w:hint="eastAsia" w:ascii="宋体" w:hAnsi="宋体" w:eastAsia="宋体" w:cs="宋体"/>
          <w:sz w:val="24"/>
        </w:rPr>
        <w:t>6.调研目的与意义</w:t>
      </w:r>
      <w:bookmarkEnd w:id="10"/>
    </w:p>
    <w:p>
      <w:pPr>
        <w:spacing w:line="360" w:lineRule="auto"/>
        <w:outlineLvl w:val="2"/>
        <w:rPr>
          <w:rFonts w:ascii="宋体" w:hAnsi="宋体" w:eastAsia="宋体" w:cs="宋体"/>
          <w:szCs w:val="21"/>
        </w:rPr>
      </w:pPr>
      <w:bookmarkStart w:id="11" w:name="_Toc12119"/>
      <w:r>
        <w:rPr>
          <w:rFonts w:hint="eastAsia" w:ascii="宋体" w:hAnsi="宋体" w:eastAsia="宋体" w:cs="宋体"/>
          <w:szCs w:val="21"/>
        </w:rPr>
        <w:t>6.1洞悉婴童产品市场宏观发展趋势与重点品类发展趋势</w:t>
      </w:r>
      <w:bookmarkEnd w:id="11"/>
    </w:p>
    <w:p>
      <w:pPr>
        <w:spacing w:line="360" w:lineRule="auto"/>
        <w:ind w:firstLine="420" w:firstLineChars="200"/>
        <w:rPr>
          <w:rFonts w:ascii="宋体" w:hAnsi="宋体" w:eastAsia="宋体" w:cs="宋体"/>
          <w:szCs w:val="21"/>
        </w:rPr>
      </w:pPr>
      <w:r>
        <w:rPr>
          <w:rFonts w:hint="eastAsia" w:ascii="宋体" w:hAnsi="宋体" w:eastAsia="宋体" w:cs="宋体"/>
          <w:szCs w:val="21"/>
        </w:rPr>
        <w:t>由于婴童产品品牌数量众多，可替代性较高，竞争激烈，因此对于企业而言了解宏观市场与重点品类发展趋势，对于企业确定未来发展方向和制定营销战略具有重要的指导意义。</w:t>
      </w:r>
    </w:p>
    <w:p>
      <w:pPr>
        <w:spacing w:line="360" w:lineRule="auto"/>
        <w:outlineLvl w:val="2"/>
        <w:rPr>
          <w:rFonts w:ascii="宋体" w:hAnsi="宋体" w:eastAsia="宋体" w:cs="宋体"/>
          <w:szCs w:val="21"/>
        </w:rPr>
      </w:pPr>
      <w:bookmarkStart w:id="12" w:name="_Toc19735"/>
      <w:r>
        <w:rPr>
          <w:rFonts w:hint="eastAsia" w:ascii="宋体" w:hAnsi="宋体" w:eastAsia="宋体" w:cs="宋体"/>
          <w:szCs w:val="21"/>
        </w:rPr>
        <w:t>6.2分析目标客户（婴童人群）画像，实现产品与服务新益求新</w:t>
      </w:r>
      <w:bookmarkEnd w:id="12"/>
    </w:p>
    <w:p>
      <w:pPr>
        <w:spacing w:line="360" w:lineRule="auto"/>
        <w:ind w:firstLine="420" w:firstLineChars="200"/>
        <w:rPr>
          <w:rFonts w:ascii="宋体" w:hAnsi="宋体" w:eastAsia="宋体" w:cs="宋体"/>
          <w:szCs w:val="21"/>
        </w:rPr>
      </w:pPr>
      <w:r>
        <w:rPr>
          <w:rFonts w:hint="eastAsia" w:ascii="宋体" w:hAnsi="宋体" w:eastAsia="宋体" w:cs="宋体"/>
          <w:szCs w:val="21"/>
        </w:rPr>
        <w:t>分析客户群体的特征可以使企业对消费者群体有更加准确的定位，从而有针对性的寻找客户群体并开发新的业务模式。同时也可以通过对客户群体的画像的研读判断企业现存的产品是否符合市场需求及消费者的预期来调整产品的定位，并发掘需要调整的方向。</w:t>
      </w:r>
    </w:p>
    <w:p>
      <w:pPr>
        <w:spacing w:line="360" w:lineRule="auto"/>
        <w:outlineLvl w:val="2"/>
        <w:rPr>
          <w:rFonts w:ascii="宋体" w:hAnsi="宋体" w:eastAsia="宋体" w:cs="宋体"/>
          <w:szCs w:val="21"/>
        </w:rPr>
      </w:pPr>
      <w:bookmarkStart w:id="13" w:name="_Toc21010"/>
      <w:r>
        <w:rPr>
          <w:rFonts w:hint="eastAsia" w:ascii="宋体" w:hAnsi="宋体" w:eastAsia="宋体" w:cs="宋体"/>
          <w:szCs w:val="21"/>
        </w:rPr>
        <w:t>6.3贴合婴童群体需求，帮助实现流量转化</w:t>
      </w:r>
      <w:bookmarkEnd w:id="13"/>
    </w:p>
    <w:p>
      <w:pPr>
        <w:spacing w:line="360" w:lineRule="auto"/>
        <w:ind w:firstLine="420" w:firstLineChars="200"/>
        <w:rPr>
          <w:rFonts w:hint="eastAsia" w:ascii="宋体" w:hAnsi="宋体" w:eastAsia="宋体" w:cs="宋体"/>
          <w:szCs w:val="21"/>
        </w:rPr>
        <w:sectPr>
          <w:headerReference r:id="rId6" w:type="default"/>
          <w:footerReference r:id="rId7"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szCs w:val="21"/>
        </w:rPr>
        <w:t>婴童产业属于购买频率低、要求高、服务周期长的行业，其消费升级空间有限。故在此次调研中，我们将通过问卷调查及查阅文献等方式了解市场需求，切实贴合消费者需求点与兴趣点，把握消费者购物习惯与偏好，帮助好孩子食品（海南）有限公司更好地实现流量转化。</w:t>
      </w:r>
    </w:p>
    <w:p>
      <w:pPr>
        <w:spacing w:line="360" w:lineRule="auto"/>
        <w:ind w:firstLine="420" w:firstLineChars="200"/>
        <w:rPr>
          <w:rFonts w:hint="eastAsia" w:ascii="宋体" w:hAnsi="宋体" w:eastAsia="宋体" w:cs="宋体"/>
          <w:szCs w:val="21"/>
        </w:rPr>
        <w:sectPr>
          <w:footerReference r:id="rId8" w:type="default"/>
          <w:pgSz w:w="11906" w:h="16838"/>
          <w:pgMar w:top="1440" w:right="1800" w:bottom="1440" w:left="1800" w:header="851" w:footer="992" w:gutter="0"/>
          <w:pgNumType w:fmt="decimal" w:start="6"/>
          <w:cols w:space="425" w:num="1"/>
          <w:docGrid w:type="lines" w:linePitch="312" w:charSpace="0"/>
        </w:sectPr>
      </w:pPr>
    </w:p>
    <w:p>
      <w:pPr>
        <w:spacing w:line="360" w:lineRule="auto"/>
        <w:rPr>
          <w:rFonts w:ascii="宋体" w:hAnsi="宋体" w:eastAsia="宋体" w:cs="宋体"/>
          <w:sz w:val="28"/>
          <w:szCs w:val="28"/>
        </w:rPr>
      </w:pPr>
      <w:r>
        <w:rPr>
          <w:rFonts w:hint="eastAsia" w:ascii="宋体" w:hAnsi="宋体" w:eastAsia="宋体" w:cs="宋体"/>
          <w:sz w:val="28"/>
          <w:szCs w:val="28"/>
        </w:rPr>
        <w:t>二、调研设计</w:t>
      </w:r>
    </w:p>
    <w:p>
      <w:pPr>
        <w:spacing w:line="360" w:lineRule="auto"/>
        <w:outlineLvl w:val="1"/>
        <w:rPr>
          <w:rFonts w:ascii="宋体" w:hAnsi="宋体" w:eastAsia="宋体" w:cs="宋体"/>
          <w:sz w:val="24"/>
        </w:rPr>
      </w:pPr>
      <w:bookmarkStart w:id="14" w:name="_Toc25632"/>
      <w:r>
        <w:rPr>
          <w:rFonts w:hint="eastAsia" w:ascii="宋体" w:hAnsi="宋体" w:eastAsia="宋体" w:cs="宋体"/>
          <w:sz w:val="24"/>
        </w:rPr>
        <w:t>1.调研对象设计</w:t>
      </w:r>
      <w:bookmarkEnd w:id="14"/>
    </w:p>
    <w:p>
      <w:pPr>
        <w:spacing w:line="360" w:lineRule="auto"/>
        <w:ind w:firstLine="420" w:firstLineChars="200"/>
        <w:rPr>
          <w:rFonts w:ascii="宋体" w:hAnsi="宋体" w:eastAsia="宋体" w:cs="宋体"/>
        </w:rPr>
      </w:pPr>
      <w:r>
        <w:rPr>
          <w:rFonts w:hint="eastAsia" w:ascii="宋体" w:hAnsi="宋体" w:eastAsia="宋体" w:cs="宋体"/>
        </w:rPr>
        <w:t>在经过对婴童产品用户特征综合分析后，我们将受众群体划分为泛婴童人群和核心婴童人群，并将调研对象集中于泛婴童人群中年龄为20-45岁的核心婴童群体中。</w:t>
      </w:r>
    </w:p>
    <w:p>
      <w:pPr>
        <w:spacing w:line="360" w:lineRule="auto"/>
        <w:ind w:firstLine="420" w:firstLineChars="200"/>
        <w:rPr>
          <w:rFonts w:ascii="宋体" w:hAnsi="宋体" w:eastAsia="宋体" w:cs="宋体"/>
        </w:rPr>
      </w:pPr>
      <w:r>
        <w:rPr>
          <w:rFonts w:hint="eastAsia" w:ascii="宋体" w:hAnsi="宋体" w:eastAsia="宋体" w:cs="宋体"/>
        </w:rPr>
        <w:t>所谓泛婴童人群包括对婴童内容感兴趣，会浏览婴童信息或关注婴童大V的婴童家庭各个成员，主要包括生育情况处于备孕状态、怀孕状态或家中孩子年龄在0-12岁之间的宝爸宝妈和父母长辈人群；而核心婴童人群则大多处于怀孕或宝宝年龄较小的宝爸和宝妈，对婴童类信息的关注度很高，主要包括生育情况处于怀孕状态或最小宝宝年龄处于0-36个月的人群。</w:t>
      </w:r>
    </w:p>
    <w:p>
      <w:pPr>
        <w:spacing w:line="360" w:lineRule="auto"/>
        <w:ind w:firstLine="420" w:firstLineChars="200"/>
        <w:rPr>
          <w:rFonts w:ascii="宋体" w:hAnsi="宋体" w:eastAsia="宋体" w:cs="宋体"/>
          <w:sz w:val="24"/>
        </w:rPr>
      </w:pPr>
      <w:r>
        <w:rPr>
          <w:rFonts w:hint="eastAsia" w:ascii="宋体" w:hAnsi="宋体" w:eastAsia="宋体" w:cs="宋体"/>
        </w:rPr>
        <w:t>目前，我国虽然面临着人口出生率快速下行和生育意愿下降的双重压力，但由于人口基数大，截至2021年末我国依然拥有2.1亿的庞大泛婴童人群，因此我们将以泛婴童群体为调研对象。而纵观整体泛婴童群体中20-40岁的核心婴童群体占绝大多数，且相对于其他泛婴童人群，核心婴童人群实际购买量要远高于其他非核心婴童人群，因此我们将在对泛婴童人群整体抽样调查的基础上，着重针对核心婴童人群进行调研分析。</w:t>
      </w:r>
    </w:p>
    <w:p>
      <w:pPr>
        <w:spacing w:line="360" w:lineRule="auto"/>
        <w:outlineLvl w:val="1"/>
        <w:rPr>
          <w:rFonts w:ascii="宋体" w:hAnsi="宋体" w:eastAsia="宋体" w:cs="宋体"/>
          <w:sz w:val="24"/>
        </w:rPr>
      </w:pPr>
      <w:bookmarkStart w:id="15" w:name="_Toc22506"/>
      <w:r>
        <w:rPr>
          <w:rFonts w:hint="eastAsia" w:ascii="宋体" w:hAnsi="宋体" w:eastAsia="宋体" w:cs="宋体"/>
          <w:sz w:val="24"/>
        </w:rPr>
        <w:t>2.调研方法设计</w:t>
      </w:r>
      <w:bookmarkEnd w:id="15"/>
    </w:p>
    <w:p>
      <w:pPr>
        <w:spacing w:line="360" w:lineRule="auto"/>
        <w:ind w:firstLine="420" w:firstLineChars="200"/>
        <w:rPr>
          <w:rFonts w:ascii="宋体" w:hAnsi="宋体" w:eastAsia="宋体" w:cs="宋体"/>
        </w:rPr>
      </w:pPr>
      <w:r>
        <w:rPr>
          <w:rFonts w:hint="eastAsia" w:ascii="宋体" w:hAnsi="宋体" w:eastAsia="宋体" w:cs="宋体"/>
        </w:rPr>
        <w:t>经过对整体的调研对象、特征进行深入的探究选择后，我们不难看出调研对象具有数量较大、范围较广、居住分散且文化素质相对较高等特点，因此我们选择以问卷调查法为主要调研手段，辅之结合电话访谈、文献调查和实地调查的方法进行完善。</w:t>
      </w:r>
    </w:p>
    <w:p>
      <w:pPr>
        <w:spacing w:line="360" w:lineRule="auto"/>
        <w:ind w:firstLine="420" w:firstLineChars="200"/>
        <w:rPr>
          <w:rFonts w:ascii="宋体" w:hAnsi="宋体" w:eastAsia="宋体" w:cs="宋体"/>
        </w:rPr>
      </w:pPr>
      <w:r>
        <w:rPr>
          <w:rFonts w:hint="eastAsia" w:ascii="宋体" w:hAnsi="宋体" w:eastAsia="宋体" w:cs="宋体"/>
        </w:rPr>
        <w:t>调查初始时，我们首先通过电话、邮件的方式与企业取得联系，并向企业提出了关于企业定位、主营业务以及主要销售平台等问题，在获得企业的明确解答后我们随即展开下一步调查。</w:t>
      </w:r>
    </w:p>
    <w:p>
      <w:pPr>
        <w:spacing w:line="360" w:lineRule="auto"/>
        <w:ind w:firstLine="420" w:firstLineChars="200"/>
        <w:rPr>
          <w:rFonts w:ascii="宋体" w:hAnsi="宋体" w:eastAsia="宋体" w:cs="宋体"/>
        </w:rPr>
      </w:pPr>
      <w:r>
        <w:rPr>
          <w:rFonts w:hint="eastAsia" w:ascii="宋体" w:hAnsi="宋体" w:eastAsia="宋体" w:cs="宋体"/>
        </w:rPr>
        <w:t>介于调研对象的多重特征以及目前领域内影响因子的多元化，小组成员在预调查期间采取了文献调查法，初步了解婴童产品行业在未来可预见时期之内的发展走势、潜在的发展机遇等，为我们后期的正式调研打下坚实基础。</w:t>
      </w:r>
    </w:p>
    <w:p>
      <w:pPr>
        <w:spacing w:line="360" w:lineRule="auto"/>
        <w:ind w:firstLine="420" w:firstLineChars="200"/>
        <w:rPr>
          <w:rFonts w:ascii="宋体" w:hAnsi="宋体" w:eastAsia="宋体" w:cs="宋体"/>
        </w:rPr>
      </w:pPr>
      <w:r>
        <w:rPr>
          <w:rFonts w:hint="eastAsia" w:ascii="宋体" w:hAnsi="宋体" w:eastAsia="宋体" w:cs="宋体"/>
        </w:rPr>
        <w:t>接下来，小组成员以解决问题为导向设计调查问卷，以问卷调查法作为调研的主要方法，一方面通过发布问卷突破了时间和空间的限制，在全国范围内对众多调查对象同时进行调查；另一方面也能够以最低的成本获取相对全面的信息。</w:t>
      </w:r>
    </w:p>
    <w:p>
      <w:pPr>
        <w:spacing w:line="360" w:lineRule="auto"/>
        <w:ind w:firstLine="420" w:firstLineChars="200"/>
        <w:rPr>
          <w:rFonts w:hint="eastAsia" w:ascii="宋体" w:hAnsi="宋体" w:eastAsia="宋体" w:cs="宋体"/>
        </w:rPr>
        <w:sectPr>
          <w:headerReference r:id="rId9" w:type="default"/>
          <w:footerReference r:id="rId10" w:type="default"/>
          <w:type w:val="continuous"/>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rPr>
        <w:t>除了线上收集问卷信息之外，小组成员走访了线下婴童产品销售实体门店，通过实地</w:t>
      </w:r>
    </w:p>
    <w:p>
      <w:pPr>
        <w:spacing w:line="360" w:lineRule="auto"/>
        <w:ind w:firstLine="420" w:firstLineChars="200"/>
        <w:rPr>
          <w:rFonts w:ascii="宋体" w:hAnsi="宋体" w:eastAsia="宋体" w:cs="宋体"/>
        </w:rPr>
      </w:pPr>
      <w:r>
        <w:rPr>
          <w:rFonts w:hint="eastAsia" w:ascii="宋体" w:hAnsi="宋体" w:eastAsia="宋体" w:cs="宋体"/>
        </w:rPr>
        <w:t>调研，更加直接生动的认识目前该领域发展的具体状况，并与线上调研结果相对照。</w:t>
      </w:r>
    </w:p>
    <w:p>
      <w:pPr>
        <w:spacing w:line="360" w:lineRule="auto"/>
        <w:outlineLvl w:val="1"/>
        <w:rPr>
          <w:rFonts w:ascii="宋体" w:hAnsi="宋体" w:eastAsia="宋体" w:cs="宋体"/>
          <w:sz w:val="24"/>
        </w:rPr>
      </w:pPr>
      <w:bookmarkStart w:id="16" w:name="_Toc6109"/>
      <w:r>
        <w:rPr>
          <w:rFonts w:hint="eastAsia" w:ascii="宋体" w:hAnsi="宋体" w:eastAsia="宋体" w:cs="宋体"/>
          <w:sz w:val="24"/>
        </w:rPr>
        <w:t>3.调研范围设计</w:t>
      </w:r>
      <w:bookmarkEnd w:id="16"/>
    </w:p>
    <w:p>
      <w:pPr>
        <w:spacing w:line="360" w:lineRule="auto"/>
        <w:ind w:firstLine="420" w:firstLineChars="200"/>
        <w:rPr>
          <w:rFonts w:ascii="宋体" w:hAnsi="宋体" w:eastAsia="宋体" w:cs="宋体"/>
        </w:rPr>
      </w:pPr>
      <w:r>
        <w:rPr>
          <w:rFonts w:hint="eastAsia" w:ascii="宋体" w:hAnsi="宋体" w:eastAsia="宋体" w:cs="宋体"/>
        </w:rPr>
        <w:t>我们将从调研区域范围、调研时间范围两个角度进行具体调研设计。</w:t>
      </w:r>
    </w:p>
    <w:p>
      <w:pPr>
        <w:numPr>
          <w:ilvl w:val="0"/>
          <w:numId w:val="1"/>
        </w:numPr>
        <w:spacing w:line="360" w:lineRule="auto"/>
        <w:ind w:firstLine="420" w:firstLineChars="200"/>
        <w:rPr>
          <w:rFonts w:ascii="宋体" w:hAnsi="宋体" w:eastAsia="宋体" w:cs="宋体"/>
          <w:szCs w:val="21"/>
        </w:rPr>
      </w:pPr>
      <w:r>
        <w:rPr>
          <w:rFonts w:hint="eastAsia" w:ascii="宋体" w:hAnsi="宋体" w:eastAsia="宋体" w:cs="宋体"/>
          <w:szCs w:val="21"/>
        </w:rPr>
        <w:t>调研区域</w:t>
      </w:r>
    </w:p>
    <w:p>
      <w:pPr>
        <w:spacing w:line="360" w:lineRule="auto"/>
        <w:ind w:firstLine="420" w:firstLineChars="200"/>
        <w:rPr>
          <w:rFonts w:ascii="宋体" w:hAnsi="宋体" w:eastAsia="宋体" w:cs="宋体"/>
          <w:szCs w:val="21"/>
        </w:rPr>
      </w:pPr>
      <w:r>
        <w:rPr>
          <w:rFonts w:hint="eastAsia" w:ascii="宋体" w:hAnsi="宋体" w:eastAsia="宋体" w:cs="宋体"/>
          <w:szCs w:val="21"/>
        </w:rPr>
        <w:t>全国范围，重点集于华东、华中以及华南地区</w:t>
      </w:r>
    </w:p>
    <w:p>
      <w:pPr>
        <w:numPr>
          <w:ilvl w:val="0"/>
          <w:numId w:val="1"/>
        </w:numPr>
        <w:spacing w:line="360" w:lineRule="auto"/>
        <w:ind w:firstLine="420" w:firstLineChars="200"/>
        <w:rPr>
          <w:rFonts w:ascii="宋体" w:hAnsi="宋体" w:eastAsia="宋体" w:cs="宋体"/>
          <w:szCs w:val="21"/>
        </w:rPr>
      </w:pPr>
      <w:r>
        <w:rPr>
          <w:rFonts w:hint="eastAsia" w:ascii="宋体" w:hAnsi="宋体" w:eastAsia="宋体" w:cs="宋体"/>
          <w:szCs w:val="21"/>
        </w:rPr>
        <w:t>调研时间</w:t>
      </w:r>
    </w:p>
    <w:p>
      <w:pPr>
        <w:spacing w:line="360" w:lineRule="auto"/>
        <w:ind w:left="420" w:leftChars="200"/>
        <w:rPr>
          <w:rFonts w:ascii="宋体" w:hAnsi="宋体" w:eastAsia="宋体" w:cs="宋体"/>
          <w:szCs w:val="21"/>
        </w:rPr>
      </w:pPr>
      <w:r>
        <w:rPr>
          <w:rFonts w:hint="eastAsia" w:ascii="宋体" w:hAnsi="宋体" w:eastAsia="宋体" w:cs="宋体"/>
          <w:szCs w:val="21"/>
        </w:rPr>
        <w:t>计划关键时间节点如表1所示：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表1 调研时间计划表</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7"/>
        <w:gridCol w:w="400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exact"/>
          <w:jc w:val="center"/>
        </w:trPr>
        <w:tc>
          <w:tcPr>
            <w:tcW w:w="2267"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firstLine="625" w:firstLineChars="0"/>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时间节点</w:t>
            </w:r>
          </w:p>
        </w:tc>
        <w:tc>
          <w:tcPr>
            <w:tcW w:w="4008"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具体调研活动安排</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exact"/>
          <w:jc w:val="center"/>
        </w:trPr>
        <w:tc>
          <w:tcPr>
            <w:tcW w:w="2267"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7月29日—8月5日</w:t>
            </w:r>
          </w:p>
        </w:tc>
        <w:tc>
          <w:tcPr>
            <w:tcW w:w="4008"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前期文献调研及准备工作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exact"/>
          <w:jc w:val="center"/>
        </w:trPr>
        <w:tc>
          <w:tcPr>
            <w:tcW w:w="2267"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8月6日—8月11日</w:t>
            </w:r>
          </w:p>
        </w:tc>
        <w:tc>
          <w:tcPr>
            <w:tcW w:w="400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调研问卷设计和文献调研工作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exact"/>
          <w:jc w:val="center"/>
        </w:trPr>
        <w:tc>
          <w:tcPr>
            <w:tcW w:w="2267"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8月12日—8月13日</w:t>
            </w:r>
          </w:p>
        </w:tc>
        <w:tc>
          <w:tcPr>
            <w:tcW w:w="400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与企业方进行沟通、整理产品信息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40" w:hRule="exact"/>
          <w:jc w:val="center"/>
        </w:trPr>
        <w:tc>
          <w:tcPr>
            <w:tcW w:w="2267"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8月14日—8月16日</w:t>
            </w:r>
          </w:p>
        </w:tc>
        <w:tc>
          <w:tcPr>
            <w:tcW w:w="400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预调查并完善问卷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exact"/>
          <w:jc w:val="center"/>
        </w:trPr>
        <w:tc>
          <w:tcPr>
            <w:tcW w:w="2267"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8月17日—8月21日</w:t>
            </w:r>
          </w:p>
        </w:tc>
        <w:tc>
          <w:tcPr>
            <w:tcW w:w="400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发布问卷、收集数据信息、开展实地调研</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exact"/>
          <w:jc w:val="center"/>
        </w:trPr>
        <w:tc>
          <w:tcPr>
            <w:tcW w:w="2267"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8月22日—8月28日</w:t>
            </w:r>
          </w:p>
        </w:tc>
        <w:tc>
          <w:tcPr>
            <w:tcW w:w="4008" w:type="dxa"/>
            <w:vAlign w:val="top"/>
          </w:tcPr>
          <w:p>
            <w:pPr>
              <w:keepNext w:val="0"/>
              <w:keepLines w:val="0"/>
              <w:pageBreakBefore w:val="0"/>
              <w:widowControl w:val="0"/>
              <w:kinsoku/>
              <w:wordWrap/>
              <w:overflowPunct/>
              <w:topLinePunct w:val="0"/>
              <w:autoSpaceDE/>
              <w:autoSpaceDN/>
              <w:bidi w:val="0"/>
              <w:adjustRightInd/>
              <w:snapToGrid/>
              <w:spacing w:line="300" w:lineRule="exact"/>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撰写调研报告和相关材料</w:t>
            </w:r>
          </w:p>
        </w:tc>
      </w:tr>
    </w:tbl>
    <w:p>
      <w:pPr>
        <w:spacing w:line="360" w:lineRule="auto"/>
        <w:outlineLvl w:val="1"/>
        <w:rPr>
          <w:rFonts w:ascii="宋体" w:hAnsi="宋体" w:eastAsia="宋体" w:cs="宋体"/>
          <w:sz w:val="24"/>
        </w:rPr>
      </w:pPr>
      <w:bookmarkStart w:id="17" w:name="_Toc31358"/>
      <w:r>
        <w:rPr>
          <w:rFonts w:hint="eastAsia" w:ascii="宋体" w:hAnsi="宋体" w:eastAsia="宋体" w:cs="宋体"/>
          <w:sz w:val="24"/>
        </w:rPr>
        <w:t>4.数据的获取</w:t>
      </w:r>
      <w:bookmarkEnd w:id="17"/>
    </w:p>
    <w:p>
      <w:pPr>
        <w:spacing w:line="360" w:lineRule="auto"/>
        <w:ind w:firstLine="420" w:firstLineChars="200"/>
        <w:rPr>
          <w:rFonts w:ascii="宋体" w:hAnsi="宋体" w:eastAsia="宋体" w:cs="宋体"/>
        </w:rPr>
      </w:pPr>
      <w:r>
        <w:rPr>
          <w:rFonts w:hint="eastAsia" w:ascii="宋体" w:hAnsi="宋体" w:eastAsia="宋体" w:cs="宋体"/>
        </w:rPr>
        <w:t>从数据使用者的角度看，统计数据资料的来源主要有两种渠道：一种是通过直接的调查或实验获得的原始数据，这是统计数据的直接来源；另一种是他人调查的数据，并将这些数据进行加工和汇总后公布的数据及次级数据。</w:t>
      </w:r>
    </w:p>
    <w:p>
      <w:pPr>
        <w:spacing w:line="360" w:lineRule="auto"/>
        <w:ind w:firstLine="420" w:firstLineChars="200"/>
        <w:rPr>
          <w:rFonts w:ascii="宋体" w:hAnsi="宋体" w:eastAsia="宋体" w:cs="宋体"/>
        </w:rPr>
      </w:pPr>
      <w:r>
        <w:rPr>
          <w:rFonts w:hint="eastAsia" w:ascii="宋体" w:hAnsi="宋体" w:eastAsia="宋体" w:cs="宋体"/>
        </w:rPr>
        <w:t>针对本次调研内容，我们将以统计调查原始数据作为基础，辅之官方的统计部门和政府、组织、学校、科研机构公开出版的统计数据进行补充。综合考虑问卷实施目的以及特点，通过线上发布问卷进行简单随机抽样和典型调查收集相关数据；同时通过网络爬取数据、相关公开数据源以及企业内部提供的相关信息整体分析，最终完成数据的获取。</w:t>
      </w:r>
    </w:p>
    <w:p>
      <w:pPr>
        <w:spacing w:line="360" w:lineRule="auto"/>
        <w:outlineLvl w:val="1"/>
        <w:rPr>
          <w:rFonts w:ascii="宋体" w:hAnsi="宋体" w:eastAsia="宋体" w:cs="宋体"/>
          <w:sz w:val="24"/>
        </w:rPr>
      </w:pPr>
      <w:bookmarkStart w:id="18" w:name="_Toc19936"/>
      <w:r>
        <w:rPr>
          <w:rFonts w:hint="eastAsia" w:ascii="宋体" w:hAnsi="宋体" w:eastAsia="宋体" w:cs="宋体"/>
          <w:sz w:val="24"/>
        </w:rPr>
        <w:t>5.数据质量保证</w:t>
      </w:r>
      <w:bookmarkEnd w:id="18"/>
    </w:p>
    <w:p>
      <w:pPr>
        <w:spacing w:line="360" w:lineRule="auto"/>
        <w:ind w:firstLine="420" w:firstLineChars="200"/>
        <w:rPr>
          <w:rFonts w:ascii="宋体" w:hAnsi="宋体" w:eastAsia="宋体" w:cs="宋体"/>
        </w:rPr>
      </w:pPr>
      <w:r>
        <w:rPr>
          <w:rFonts w:hint="eastAsia" w:ascii="宋体" w:hAnsi="宋体" w:eastAsia="宋体" w:cs="宋体"/>
        </w:rPr>
        <w:t>任何问卷调研活动的科学有效性都要在保证调研数据质量和抽取样本代表性的前提下实现，因此我们必须通过对整个调研活动的调整，提升调研的信度和效度，以最大程度反映出现实情况。</w:t>
      </w:r>
    </w:p>
    <w:p>
      <w:pPr>
        <w:spacing w:line="360" w:lineRule="auto"/>
        <w:outlineLvl w:val="2"/>
        <w:rPr>
          <w:rFonts w:ascii="宋体" w:hAnsi="宋体" w:eastAsia="宋体" w:cs="宋体"/>
          <w:szCs w:val="21"/>
        </w:rPr>
      </w:pPr>
      <w:bookmarkStart w:id="19" w:name="_Toc31195"/>
      <w:r>
        <w:rPr>
          <w:rFonts w:hint="eastAsia" w:ascii="宋体" w:hAnsi="宋体" w:eastAsia="宋体" w:cs="宋体"/>
          <w:szCs w:val="21"/>
        </w:rPr>
        <w:t>5.1数据质量——保障调研信度</w:t>
      </w:r>
      <w:bookmarkEnd w:id="19"/>
    </w:p>
    <w:p>
      <w:pPr>
        <w:spacing w:line="360" w:lineRule="auto"/>
        <w:ind w:firstLine="420" w:firstLineChars="200"/>
        <w:rPr>
          <w:rFonts w:ascii="宋体" w:hAnsi="宋体" w:eastAsia="宋体" w:cs="宋体"/>
        </w:rPr>
      </w:pPr>
      <w:r>
        <w:rPr>
          <w:rFonts w:hint="eastAsia" w:ascii="宋体" w:hAnsi="宋体" w:eastAsia="宋体" w:cs="宋体"/>
        </w:rPr>
        <w:t>（1）从问卷设计角度来看</w:t>
      </w:r>
    </w:p>
    <w:p>
      <w:pPr>
        <w:spacing w:line="360" w:lineRule="auto"/>
        <w:ind w:firstLine="420" w:firstLineChars="200"/>
        <w:rPr>
          <w:rFonts w:ascii="宋体" w:hAnsi="宋体" w:eastAsia="宋体" w:cs="宋体"/>
        </w:rPr>
      </w:pPr>
      <w:r>
        <w:rPr>
          <w:rFonts w:hint="eastAsia" w:ascii="宋体" w:hAnsi="宋体" w:eastAsia="宋体" w:cs="宋体"/>
        </w:rPr>
        <w:t>首先要控制合理的条目数量。为了权衡信度和误差，我们通过对第一批100人次的实验性调研并回馈到关于问卷质量的评价，最终本项目将问卷确定为36个具体问题，分别从个人基本情况、目前购买婴童产品情况和对婴童产品未来展望三个方面进行调研。其次不可忽视的选择相关指标，保证全部数据指标选择做到穷尽互斥并精准表达所需测量的目的。</w:t>
      </w:r>
    </w:p>
    <w:p>
      <w:pPr>
        <w:spacing w:line="360" w:lineRule="auto"/>
        <w:ind w:firstLine="420" w:firstLineChars="200"/>
        <w:rPr>
          <w:rFonts w:ascii="宋体" w:hAnsi="宋体" w:eastAsia="宋体" w:cs="宋体"/>
        </w:rPr>
      </w:pPr>
      <w:r>
        <w:rPr>
          <w:rFonts w:hint="eastAsia" w:ascii="宋体" w:hAnsi="宋体" w:eastAsia="宋体" w:cs="宋体"/>
        </w:rPr>
        <w:t>（2）从人为误差角度来看</w:t>
      </w:r>
    </w:p>
    <w:p>
      <w:pPr>
        <w:spacing w:line="360" w:lineRule="auto"/>
        <w:ind w:firstLine="420" w:firstLineChars="200"/>
        <w:rPr>
          <w:rFonts w:ascii="宋体" w:hAnsi="宋体" w:eastAsia="宋体" w:cs="宋体"/>
        </w:rPr>
      </w:pPr>
      <w:r>
        <w:rPr>
          <w:rFonts w:hint="eastAsia" w:ascii="宋体" w:hAnsi="宋体" w:eastAsia="宋体" w:cs="宋体"/>
        </w:rPr>
        <w:t>不等概率抽样样本被抽中的机会可能不一致，因此数据的分析不应采用简单的累计和简单的平均来处理，必须采用加权累计和加权平均的方式加工资料，使得资料综合指标内部结构与总体实际情况相一致，尽量减少资料整理分析中人为误差。</w:t>
      </w:r>
    </w:p>
    <w:p>
      <w:pPr>
        <w:spacing w:line="360" w:lineRule="auto"/>
        <w:outlineLvl w:val="2"/>
        <w:rPr>
          <w:rFonts w:ascii="宋体" w:hAnsi="宋体" w:eastAsia="宋体" w:cs="宋体"/>
          <w:szCs w:val="21"/>
        </w:rPr>
      </w:pPr>
      <w:bookmarkStart w:id="20" w:name="_Toc31672"/>
      <w:r>
        <w:rPr>
          <w:rFonts w:hint="eastAsia" w:ascii="宋体" w:hAnsi="宋体" w:eastAsia="宋体" w:cs="宋体"/>
          <w:szCs w:val="21"/>
        </w:rPr>
        <w:t>5.2样本代表性——保障调研效度</w:t>
      </w:r>
      <w:bookmarkEnd w:id="20"/>
    </w:p>
    <w:p>
      <w:pPr>
        <w:spacing w:line="360" w:lineRule="auto"/>
        <w:ind w:firstLine="420" w:firstLineChars="200"/>
        <w:rPr>
          <w:rFonts w:ascii="宋体" w:hAnsi="宋体" w:eastAsia="宋体" w:cs="宋体"/>
        </w:rPr>
      </w:pPr>
      <w:r>
        <w:rPr>
          <w:rFonts w:hint="eastAsia" w:ascii="宋体" w:hAnsi="宋体" w:eastAsia="宋体" w:cs="宋体"/>
        </w:rPr>
        <w:t>在测试之前，小组成员对研究对象的总体特征和波动性大小进行评价，评估总体在某一特征上的构成，从而拟合处样本特征，并在调研过程中，始终保持样本与总体具有同质性。同时，在样本的选择上，对调研的时间性和地域性根据具体的文献资料进一步细化总结。</w:t>
      </w:r>
    </w:p>
    <w:p>
      <w:pPr>
        <w:spacing w:line="360" w:lineRule="auto"/>
        <w:rPr>
          <w:rFonts w:hint="eastAsia" w:ascii="宋体"/>
          <w:color w:val="000000"/>
          <w:szCs w:val="21"/>
        </w:rPr>
      </w:pPr>
      <w:r>
        <w:rPr>
          <w:rFonts w:hint="eastAsia" w:ascii="宋体"/>
          <w:color w:val="000000"/>
          <w:szCs w:val="21"/>
        </w:rPr>
        <w:t>5</w:t>
      </w:r>
      <w:r>
        <w:rPr>
          <w:rFonts w:ascii="宋体"/>
          <w:color w:val="000000"/>
          <w:szCs w:val="21"/>
        </w:rPr>
        <w:t>.3</w:t>
      </w:r>
      <w:r>
        <w:rPr>
          <w:rFonts w:hint="eastAsia" w:ascii="宋体"/>
          <w:color w:val="000000"/>
          <w:szCs w:val="21"/>
        </w:rPr>
        <w:t>其他手段保障——后期筛查</w:t>
      </w:r>
    </w:p>
    <w:p>
      <w:pPr>
        <w:spacing w:line="360" w:lineRule="auto"/>
        <w:ind w:firstLine="420" w:firstLineChars="200"/>
        <w:rPr>
          <w:rFonts w:ascii="宋体"/>
          <w:color w:val="000000"/>
          <w:szCs w:val="21"/>
        </w:rPr>
      </w:pPr>
      <w:r>
        <w:rPr>
          <w:rFonts w:hint="eastAsia" w:ascii="宋体"/>
          <w:color w:val="000000"/>
          <w:szCs w:val="21"/>
        </w:rPr>
        <w:t>最后，问卷收集完成后，对用户所填写的问卷进行手动审核，主要审核问卷回答时长和问卷回答内容是否完整、逻辑前后一致（例如内部测试正常认真作答问卷完成时间一般为2至5分钟左右，对于不在此问答时长区间的用户问卷重点进行真实性筛查。）进而筛选有效问卷，提升数据质量。</w:t>
      </w:r>
    </w:p>
    <w:p>
      <w:pPr>
        <w:spacing w:line="360" w:lineRule="auto"/>
        <w:ind w:firstLine="420" w:firstLineChars="200"/>
        <w:rPr>
          <w:rFonts w:hint="eastAsia" w:ascii="宋体" w:hAnsi="宋体" w:eastAsia="宋体" w:cs="宋体"/>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sectPr>
          <w:footerReference r:id="rId11" w:type="default"/>
          <w:pgSz w:w="11906" w:h="16838"/>
          <w:pgMar w:top="1440" w:right="1800" w:bottom="1440" w:left="1800" w:header="851" w:footer="992" w:gutter="0"/>
          <w:pgNumType w:fmt="decimal"/>
          <w:cols w:space="425" w:num="1"/>
          <w:docGrid w:type="lines" w:linePitch="312" w:charSpace="0"/>
        </w:sectPr>
      </w:pPr>
    </w:p>
    <w:p>
      <w:pPr>
        <w:spacing w:line="360" w:lineRule="auto"/>
        <w:rPr>
          <w:rFonts w:ascii="宋体" w:hAnsi="宋体" w:eastAsia="宋体" w:cs="宋体"/>
          <w:sz w:val="28"/>
          <w:szCs w:val="28"/>
        </w:rPr>
      </w:pPr>
      <w:r>
        <w:rPr>
          <w:rFonts w:hint="eastAsia" w:ascii="宋体" w:hAnsi="宋体" w:eastAsia="宋体" w:cs="宋体"/>
          <w:sz w:val="28"/>
          <w:szCs w:val="28"/>
        </w:rPr>
        <w:t>三、数据收集与分析</w:t>
      </w:r>
    </w:p>
    <w:p>
      <w:pPr>
        <w:spacing w:line="360" w:lineRule="auto"/>
        <w:outlineLvl w:val="1"/>
        <w:rPr>
          <w:rFonts w:ascii="宋体" w:hAnsi="宋体" w:eastAsia="宋体" w:cs="宋体"/>
          <w:sz w:val="24"/>
        </w:rPr>
      </w:pPr>
      <w:bookmarkStart w:id="21" w:name="_Toc15397"/>
      <w:r>
        <w:rPr>
          <w:rFonts w:hint="eastAsia" w:ascii="宋体" w:hAnsi="宋体" w:eastAsia="宋体" w:cs="宋体"/>
          <w:sz w:val="24"/>
        </w:rPr>
        <w:t>1.数据收集过程</w:t>
      </w:r>
      <w:bookmarkEnd w:id="21"/>
    </w:p>
    <w:p>
      <w:pPr>
        <w:spacing w:line="360" w:lineRule="auto"/>
        <w:ind w:firstLine="420"/>
        <w:rPr>
          <w:rFonts w:ascii="宋体" w:hAnsi="宋体" w:eastAsia="宋体" w:cs="宋体"/>
        </w:rPr>
      </w:pPr>
      <w:r>
        <w:rPr>
          <w:rFonts w:hint="eastAsia" w:ascii="宋体" w:hAnsi="宋体" w:eastAsia="宋体" w:cs="宋体"/>
        </w:rPr>
        <w:t>小组成员以问卷调查法作为调研的主要方法，在问卷设计方面，收集被调查者年龄，收入，地域等基本信息，从食品，服装等多个维度提出问题，对于消费者偏好，对产品的看法等多个方面进行提问，力求全面，真实</w:t>
      </w:r>
      <w:r>
        <w:rPr>
          <w:rFonts w:hint="eastAsia" w:ascii="宋体" w:hAnsi="宋体" w:eastAsia="宋体" w:cs="宋体"/>
          <w:lang w:eastAsia="zh-CN"/>
        </w:rPr>
        <w:t>，</w:t>
      </w:r>
      <w:r>
        <w:rPr>
          <w:rFonts w:hint="eastAsia" w:ascii="宋体" w:hAnsi="宋体" w:eastAsia="宋体" w:cs="宋体"/>
          <w:lang w:val="en-US" w:eastAsia="zh-CN"/>
        </w:rPr>
        <w:t>最后在</w:t>
      </w:r>
      <w:r>
        <w:rPr>
          <w:rFonts w:hint="eastAsia" w:ascii="宋体" w:hAnsi="宋体" w:eastAsia="宋体" w:cs="宋体"/>
        </w:rPr>
        <w:t>全国范围内对众多调查对象同时进行调查。同时，爬取了小红书和抖音平台关于婴童的近180天相关数据并进行分析。</w:t>
      </w:r>
    </w:p>
    <w:p>
      <w:pPr>
        <w:spacing w:line="360" w:lineRule="auto"/>
        <w:outlineLvl w:val="1"/>
        <w:rPr>
          <w:rFonts w:ascii="宋体" w:hAnsi="宋体" w:eastAsia="宋体" w:cs="宋体"/>
          <w:sz w:val="24"/>
        </w:rPr>
      </w:pPr>
      <w:bookmarkStart w:id="22" w:name="_Toc25221"/>
      <w:r>
        <w:rPr>
          <w:rFonts w:hint="eastAsia" w:ascii="宋体" w:hAnsi="宋体" w:eastAsia="宋体" w:cs="宋体"/>
          <w:sz w:val="24"/>
        </w:rPr>
        <w:t>2.数据预处理</w:t>
      </w:r>
      <w:bookmarkEnd w:id="22"/>
    </w:p>
    <w:p>
      <w:pPr>
        <w:spacing w:line="360" w:lineRule="auto"/>
        <w:ind w:firstLine="420"/>
        <w:rPr>
          <w:rFonts w:hint="eastAsia" w:ascii="宋体" w:hAnsi="宋体" w:eastAsia="宋体" w:cs="宋体"/>
          <w:lang w:eastAsia="zh-CN"/>
        </w:rPr>
      </w:pPr>
      <w:r>
        <w:rPr>
          <w:rFonts w:hint="eastAsia" w:ascii="宋体" w:hAnsi="宋体" w:eastAsia="宋体" w:cs="宋体"/>
        </w:rPr>
        <w:t>（1）</w:t>
      </w:r>
      <w:r>
        <w:rPr>
          <w:rFonts w:hint="eastAsia" w:ascii="宋体" w:hAnsi="宋体" w:eastAsia="宋体" w:cs="宋体"/>
          <w:lang w:val="en-US" w:eastAsia="zh-CN"/>
        </w:rPr>
        <w:t>预测试分析。</w:t>
      </w:r>
      <w:r>
        <w:rPr>
          <w:rFonts w:hint="eastAsia" w:ascii="宋体" w:hAnsi="宋体" w:eastAsia="宋体" w:cs="宋体"/>
        </w:rPr>
        <w:t>在收集小部分（50个）数据后，进行预测试分析</w:t>
      </w:r>
      <w:r>
        <w:rPr>
          <w:rFonts w:hint="eastAsia" w:ascii="宋体" w:hAnsi="宋体" w:eastAsia="宋体" w:cs="宋体"/>
          <w:lang w:eastAsia="zh-CN"/>
        </w:rPr>
        <w:t>。</w:t>
      </w:r>
      <w:r>
        <w:rPr>
          <w:rFonts w:hint="eastAsia" w:ascii="宋体" w:hAnsi="宋体" w:eastAsia="宋体" w:cs="宋体"/>
        </w:rPr>
        <w:t>先进行信度分析，再进行效度分析，并根据预测试的结果去修改问卷规范，重新寻找有效样本。由于预测试效果良好，问卷没有进行修改</w:t>
      </w:r>
      <w:r>
        <w:rPr>
          <w:rFonts w:hint="eastAsia" w:ascii="宋体" w:hAnsi="宋体" w:eastAsia="宋体" w:cs="宋体"/>
          <w:lang w:eastAsia="zh-CN"/>
        </w:rPr>
        <w:t>。</w:t>
      </w:r>
    </w:p>
    <w:p>
      <w:pPr>
        <w:spacing w:line="360" w:lineRule="auto"/>
        <w:ind w:firstLine="420"/>
        <w:rPr>
          <w:rFonts w:ascii="宋体" w:hAnsi="宋体" w:eastAsia="宋体" w:cs="宋体"/>
        </w:rPr>
      </w:pPr>
      <w:r>
        <w:rPr>
          <w:rFonts w:hint="eastAsia" w:ascii="宋体" w:hAnsi="宋体" w:eastAsia="宋体" w:cs="宋体"/>
        </w:rPr>
        <w:t>（2）缺失数据处理</w:t>
      </w:r>
      <w:r>
        <w:rPr>
          <w:rFonts w:hint="eastAsia" w:ascii="宋体" w:hAnsi="宋体" w:eastAsia="宋体" w:cs="宋体"/>
          <w:lang w:eastAsia="zh-CN"/>
        </w:rPr>
        <w:t>。</w:t>
      </w:r>
      <w:r>
        <w:rPr>
          <w:rFonts w:hint="eastAsia" w:ascii="宋体" w:hAnsi="宋体" w:eastAsia="宋体" w:cs="宋体"/>
        </w:rPr>
        <w:t>以总题数的60%为准，对于漏答数大于60%的样本进行剔除；</w:t>
      </w:r>
    </w:p>
    <w:p>
      <w:pPr>
        <w:spacing w:line="360" w:lineRule="auto"/>
        <w:ind w:firstLine="420"/>
        <w:rPr>
          <w:rFonts w:ascii="宋体" w:hAnsi="宋体" w:eastAsia="宋体" w:cs="宋体"/>
        </w:rPr>
      </w:pPr>
      <w:r>
        <w:rPr>
          <w:rFonts w:hint="eastAsia" w:ascii="宋体" w:hAnsi="宋体" w:eastAsia="宋体" w:cs="宋体"/>
        </w:rPr>
        <w:t>（3）重复数据处理</w:t>
      </w:r>
      <w:r>
        <w:rPr>
          <w:rFonts w:hint="eastAsia" w:ascii="宋体" w:hAnsi="宋体" w:eastAsia="宋体" w:cs="宋体"/>
          <w:lang w:eastAsia="zh-CN"/>
        </w:rPr>
        <w:t>。</w:t>
      </w:r>
      <w:r>
        <w:rPr>
          <w:rFonts w:hint="eastAsia" w:ascii="宋体" w:hAnsi="宋体" w:eastAsia="宋体" w:cs="宋体"/>
        </w:rPr>
        <w:t>一人重复填两份以上的问卷，则该人填第二份以后的问卷视作无效；</w:t>
      </w:r>
    </w:p>
    <w:p>
      <w:pPr>
        <w:spacing w:line="360" w:lineRule="auto"/>
        <w:ind w:firstLine="420"/>
        <w:rPr>
          <w:rFonts w:ascii="宋体" w:hAnsi="宋体" w:eastAsia="宋体" w:cs="宋体"/>
        </w:rPr>
      </w:pPr>
      <w:r>
        <w:rPr>
          <w:rFonts w:hint="eastAsia" w:ascii="宋体" w:hAnsi="宋体" w:eastAsia="宋体" w:cs="宋体"/>
        </w:rPr>
        <w:t>（4）异常数据处理</w:t>
      </w:r>
      <w:r>
        <w:rPr>
          <w:rFonts w:hint="eastAsia" w:ascii="宋体" w:hAnsi="宋体" w:eastAsia="宋体" w:cs="宋体"/>
          <w:lang w:eastAsia="zh-CN"/>
        </w:rPr>
        <w:t>。</w:t>
      </w:r>
      <w:r>
        <w:rPr>
          <w:rFonts w:hint="eastAsia" w:ascii="宋体" w:hAnsi="宋体" w:eastAsia="宋体" w:cs="宋体"/>
        </w:rPr>
        <w:t>通过3slgma原则对于数据进行异常值识别，对于问卷中的出现的部分异常值，将异常值替换为数据的中位数；</w:t>
      </w:r>
    </w:p>
    <w:p>
      <w:pPr>
        <w:spacing w:line="360" w:lineRule="auto"/>
        <w:ind w:firstLine="630" w:firstLineChars="300"/>
        <w:rPr>
          <w:rFonts w:ascii="宋体" w:hAnsi="宋体" w:eastAsia="宋体" w:cs="宋体"/>
        </w:rPr>
      </w:pPr>
      <w:r>
        <w:rPr>
          <w:rFonts w:hint="eastAsia" w:ascii="宋体" w:hAnsi="宋体" w:eastAsia="宋体" w:cs="宋体"/>
        </w:rPr>
        <w:t>通过上述过程，最终得到问卷290份，对于问卷中的量表数据，进行信度分析，若Cronbach α系数低于0.8，则对于问卷进行重新收集。信度分析后得到结果如表2所示：</w:t>
      </w:r>
    </w:p>
    <w:p>
      <w:pPr>
        <w:spacing w:line="360" w:lineRule="auto"/>
        <w:ind w:firstLine="420"/>
        <w:jc w:val="center"/>
        <w:rPr>
          <w:rFonts w:hint="eastAsia" w:ascii="宋体" w:hAnsi="宋体" w:eastAsia="宋体" w:cs="宋体"/>
          <w:sz w:val="18"/>
          <w:szCs w:val="21"/>
        </w:rPr>
      </w:pPr>
      <w:r>
        <w:rPr>
          <w:rFonts w:hint="eastAsia" w:ascii="宋体" w:hAnsi="宋体" w:eastAsia="宋体" w:cs="宋体"/>
          <w:sz w:val="18"/>
          <w:szCs w:val="21"/>
        </w:rPr>
        <w:t>表2 问卷信度分析结果</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41"/>
        <w:gridCol w:w="2984"/>
        <w:gridCol w:w="241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83" w:hRule="exact"/>
          <w:jc w:val="center"/>
        </w:trPr>
        <w:tc>
          <w:tcPr>
            <w:tcW w:w="2941"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名称</w:t>
            </w:r>
          </w:p>
        </w:tc>
        <w:tc>
          <w:tcPr>
            <w:tcW w:w="2984"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校正项总计相关性(CICT)</w:t>
            </w:r>
          </w:p>
        </w:tc>
        <w:tc>
          <w:tcPr>
            <w:tcW w:w="2418" w:type="dxa"/>
            <w:tcBorders>
              <w:bottom w:val="single" w:color="auto" w:sz="4" w:space="0"/>
            </w:tcBorders>
            <w:vAlign w:val="top"/>
          </w:tcPr>
          <w:p>
            <w:pPr>
              <w:keepNext w:val="0"/>
              <w:keepLines w:val="0"/>
              <w:pageBreakBefore w:val="0"/>
              <w:widowControl w:val="0"/>
              <w:tabs>
                <w:tab w:val="left" w:pos="240"/>
              </w:tabs>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 xml:space="preserve">Cronbach </w:t>
            </w:r>
            <w:r>
              <w:rPr>
                <w:rFonts w:hint="eastAsia" w:ascii="宋体" w:hAnsi="宋体" w:eastAsia="宋体" w:cs="宋体"/>
                <w:sz w:val="21"/>
                <w:szCs w:val="21"/>
                <w:vertAlign w:val="baseline"/>
                <w:lang w:val="en-US" w:eastAsia="zh-CN"/>
              </w:rPr>
              <w:t>α</w:t>
            </w:r>
            <w:r>
              <w:rPr>
                <w:rFonts w:hint="eastAsia" w:ascii="宋体" w:hAnsi="宋体" w:cs="宋体"/>
                <w:sz w:val="21"/>
                <w:szCs w:val="21"/>
                <w:vertAlign w:val="baseline"/>
                <w:lang w:val="en-US" w:eastAsia="zh-CN"/>
              </w:rPr>
              <w:t>系数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2941"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0"/>
                <w:szCs w:val="20"/>
                <w:vertAlign w:val="baseline"/>
                <w:lang w:val="en-US" w:eastAsia="zh-CN"/>
              </w:rPr>
            </w:pPr>
            <w:r>
              <w:rPr>
                <w:rFonts w:hint="eastAsia" w:ascii="宋体" w:hAnsi="宋体" w:cs="宋体"/>
                <w:sz w:val="20"/>
                <w:szCs w:val="20"/>
                <w:vertAlign w:val="baseline"/>
                <w:lang w:val="en-US" w:eastAsia="zh-CN"/>
              </w:rPr>
              <w:t>对同一婴童产品的复购程度为</w:t>
            </w:r>
          </w:p>
        </w:tc>
        <w:tc>
          <w:tcPr>
            <w:tcW w:w="2984"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0"/>
                <w:szCs w:val="20"/>
                <w:vertAlign w:val="baseline"/>
                <w:lang w:val="en-US" w:eastAsia="zh-CN"/>
              </w:rPr>
            </w:pPr>
            <w:r>
              <w:rPr>
                <w:rFonts w:hint="eastAsia" w:ascii="宋体" w:hAnsi="宋体" w:cs="宋体"/>
                <w:sz w:val="20"/>
                <w:szCs w:val="20"/>
                <w:vertAlign w:val="baseline"/>
                <w:lang w:val="en-US" w:eastAsia="zh-CN"/>
              </w:rPr>
              <w:t>0.858</w:t>
            </w:r>
          </w:p>
        </w:tc>
        <w:tc>
          <w:tcPr>
            <w:tcW w:w="2418" w:type="dxa"/>
            <w:vMerge w:val="restart"/>
            <w:tcBorders>
              <w:top w:val="single" w:color="auto" w:sz="4" w:space="0"/>
            </w:tcBorders>
            <w:vAlign w:val="top"/>
          </w:tcPr>
          <w:p>
            <w:pPr>
              <w:keepNext w:val="0"/>
              <w:keepLines w:val="0"/>
              <w:pageBreakBefore w:val="0"/>
              <w:widowControl w:val="0"/>
              <w:tabs>
                <w:tab w:val="center" w:pos="1101"/>
              </w:tabs>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0"/>
                <w:szCs w:val="20"/>
                <w:vertAlign w:val="baseline"/>
                <w:lang w:val="en-US" w:eastAsia="zh-CN"/>
              </w:rPr>
            </w:pPr>
            <w:r>
              <w:rPr>
                <w:rFonts w:hint="eastAsia" w:ascii="宋体" w:hAnsi="宋体" w:cs="宋体"/>
                <w:sz w:val="20"/>
                <w:szCs w:val="20"/>
                <w:vertAlign w:val="baseline"/>
                <w:lang w:val="en-US" w:eastAsia="zh-CN"/>
              </w:rPr>
              <w:t>0.923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2941"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0"/>
                <w:szCs w:val="20"/>
                <w:vertAlign w:val="baseline"/>
                <w:lang w:val="en-US" w:eastAsia="zh-CN"/>
              </w:rPr>
            </w:pPr>
            <w:r>
              <w:rPr>
                <w:rFonts w:hint="eastAsia" w:ascii="宋体" w:hAnsi="宋体" w:cs="宋体"/>
                <w:sz w:val="20"/>
                <w:szCs w:val="20"/>
                <w:vertAlign w:val="baseline"/>
                <w:lang w:val="en-US" w:eastAsia="zh-CN"/>
              </w:rPr>
              <w:t>对孩子参加兴趣班的态度是</w:t>
            </w:r>
          </w:p>
        </w:tc>
        <w:tc>
          <w:tcPr>
            <w:tcW w:w="2984" w:type="dxa"/>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0"/>
                <w:szCs w:val="20"/>
                <w:vertAlign w:val="baseline"/>
                <w:lang w:val="en-US" w:eastAsia="zh-CN"/>
              </w:rPr>
            </w:pPr>
            <w:r>
              <w:rPr>
                <w:rFonts w:hint="eastAsia" w:ascii="宋体" w:hAnsi="宋体" w:cs="宋体"/>
                <w:sz w:val="20"/>
                <w:szCs w:val="20"/>
                <w:vertAlign w:val="baseline"/>
                <w:lang w:val="en-US" w:eastAsia="zh-CN"/>
              </w:rPr>
              <w:t>0.858</w:t>
            </w:r>
          </w:p>
        </w:tc>
        <w:tc>
          <w:tcPr>
            <w:tcW w:w="2418"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0"/>
                <w:szCs w:val="20"/>
                <w:vertAlign w:val="baseline"/>
                <w:lang w:val="en-US" w:eastAsia="zh-CN"/>
              </w:rPr>
            </w:pPr>
          </w:p>
        </w:tc>
      </w:tr>
    </w:tbl>
    <w:p>
      <w:pPr>
        <w:spacing w:line="360" w:lineRule="auto"/>
        <w:ind w:firstLine="420" w:firstLineChars="200"/>
        <w:rPr>
          <w:rFonts w:ascii="宋体" w:hAnsi="宋体" w:eastAsia="宋体" w:cs="宋体"/>
        </w:rPr>
      </w:pPr>
      <w:r>
        <w:rPr>
          <w:rFonts w:hint="eastAsia" w:ascii="宋体" w:hAnsi="宋体" w:eastAsia="宋体" w:cs="宋体"/>
        </w:rPr>
        <w:t>Cronbach α系数大于0.8，说明量表项合理。</w:t>
      </w:r>
    </w:p>
    <w:p>
      <w:pPr>
        <w:spacing w:line="360" w:lineRule="auto"/>
        <w:ind w:firstLine="420"/>
        <w:rPr>
          <w:rFonts w:ascii="宋体" w:hAnsi="宋体" w:eastAsia="宋体" w:cs="宋体"/>
        </w:rPr>
      </w:pPr>
      <w:r>
        <w:rPr>
          <w:rFonts w:hint="eastAsia" w:ascii="宋体" w:hAnsi="宋体" w:eastAsia="宋体" w:cs="宋体"/>
        </w:rPr>
        <w:br w:type="page"/>
      </w:r>
    </w:p>
    <w:p>
      <w:pPr>
        <w:spacing w:line="360" w:lineRule="auto"/>
        <w:ind w:firstLine="420"/>
        <w:rPr>
          <w:rFonts w:ascii="宋体" w:hAnsi="宋体" w:eastAsia="宋体" w:cs="宋体"/>
        </w:rPr>
      </w:pPr>
      <w:r>
        <w:rPr>
          <w:rFonts w:hint="eastAsia" w:ascii="宋体" w:hAnsi="宋体" w:eastAsia="宋体" w:cs="宋体"/>
        </w:rPr>
        <w:t>对于爬取的文本数据进行处理，处理过程如图3所示：</w:t>
      </w:r>
    </w:p>
    <w:p>
      <w:pPr>
        <w:spacing w:line="360" w:lineRule="auto"/>
        <w:ind w:firstLine="420"/>
        <w:jc w:val="center"/>
        <w:rPr>
          <w:rFonts w:ascii="宋体" w:hAnsi="宋体" w:eastAsia="宋体" w:cs="宋体"/>
        </w:rPr>
      </w:pPr>
      <w:r>
        <w:rPr>
          <w:rFonts w:hint="eastAsia" w:ascii="宋体" w:hAnsi="宋体" w:eastAsia="宋体" w:cs="宋体"/>
        </w:rPr>
        <w:drawing>
          <wp:inline distT="0" distB="0" distL="114300" distR="114300">
            <wp:extent cx="3943985" cy="1964690"/>
            <wp:effectExtent l="0" t="0" r="0" b="0"/>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4"/>
                    <a:stretch>
                      <a:fillRect/>
                    </a:stretch>
                  </pic:blipFill>
                  <pic:spPr>
                    <a:xfrm>
                      <a:off x="0" y="0"/>
                      <a:ext cx="3943985" cy="1964690"/>
                    </a:xfrm>
                    <a:prstGeom prst="rect">
                      <a:avLst/>
                    </a:prstGeom>
                  </pic:spPr>
                </pic:pic>
              </a:graphicData>
            </a:graphic>
          </wp:inline>
        </w:drawing>
      </w:r>
    </w:p>
    <w:p>
      <w:pPr>
        <w:spacing w:line="360" w:lineRule="auto"/>
        <w:ind w:firstLine="420"/>
        <w:jc w:val="center"/>
        <w:rPr>
          <w:rFonts w:ascii="宋体" w:hAnsi="宋体" w:eastAsia="宋体" w:cs="宋体"/>
          <w:sz w:val="18"/>
          <w:szCs w:val="21"/>
        </w:rPr>
      </w:pPr>
      <w:r>
        <w:rPr>
          <w:rFonts w:hint="eastAsia" w:ascii="宋体" w:hAnsi="宋体" w:eastAsia="宋体" w:cs="宋体"/>
          <w:sz w:val="18"/>
          <w:szCs w:val="21"/>
        </w:rPr>
        <w:t>图3 文本数据处理过程</w:t>
      </w:r>
    </w:p>
    <w:p>
      <w:pPr>
        <w:spacing w:line="360" w:lineRule="auto"/>
        <w:ind w:firstLine="420" w:firstLineChars="200"/>
        <w:rPr>
          <w:rFonts w:ascii="宋体" w:hAnsi="宋体" w:eastAsia="宋体" w:cs="宋体"/>
        </w:rPr>
      </w:pPr>
      <w:r>
        <w:rPr>
          <w:rFonts w:hint="eastAsia" w:ascii="宋体" w:hAnsi="宋体" w:eastAsia="宋体" w:cs="宋体"/>
        </w:rPr>
        <w:t>最后通过TF-IDF特征处理方法，对于文本数据进行特征处理，利于</w:t>
      </w:r>
      <w:r>
        <w:rPr>
          <w:rFonts w:hint="eastAsia" w:ascii="宋体" w:hAnsi="宋体" w:eastAsia="宋体" w:cs="宋体"/>
          <w:lang w:val="en-US" w:eastAsia="zh-CN"/>
        </w:rPr>
        <w:t>后序</w:t>
      </w:r>
      <w:r>
        <w:rPr>
          <w:rFonts w:hint="eastAsia" w:ascii="宋体" w:hAnsi="宋体" w:eastAsia="宋体" w:cs="宋体"/>
        </w:rPr>
        <w:t>的文本挖掘。</w:t>
      </w:r>
    </w:p>
    <w:p>
      <w:pPr>
        <w:spacing w:line="360" w:lineRule="auto"/>
        <w:outlineLvl w:val="1"/>
        <w:rPr>
          <w:rFonts w:ascii="宋体" w:hAnsi="宋体" w:eastAsia="宋体" w:cs="宋体"/>
          <w:sz w:val="24"/>
        </w:rPr>
      </w:pPr>
      <w:bookmarkStart w:id="23" w:name="_Toc19294"/>
      <w:r>
        <w:rPr>
          <w:rFonts w:hint="eastAsia" w:ascii="宋体" w:hAnsi="宋体" w:eastAsia="宋体" w:cs="宋体"/>
          <w:sz w:val="24"/>
        </w:rPr>
        <w:t>3.数据分析方法</w:t>
      </w:r>
      <w:bookmarkEnd w:id="23"/>
    </w:p>
    <w:p>
      <w:pPr>
        <w:spacing w:line="360" w:lineRule="auto"/>
        <w:outlineLvl w:val="2"/>
        <w:rPr>
          <w:rFonts w:ascii="宋体" w:hAnsi="宋体" w:eastAsia="宋体" w:cs="宋体"/>
          <w:szCs w:val="21"/>
        </w:rPr>
      </w:pPr>
      <w:bookmarkStart w:id="24" w:name="_Toc1050"/>
      <w:r>
        <w:rPr>
          <w:rFonts w:hint="eastAsia" w:ascii="宋体" w:hAnsi="宋体" w:eastAsia="宋体" w:cs="宋体"/>
          <w:szCs w:val="21"/>
        </w:rPr>
        <w:t>3.1问卷数据调查分析</w:t>
      </w:r>
      <w:bookmarkEnd w:id="24"/>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（1）样本背景分析，针对样本中的年龄，性别，所在地区，婚姻状况，收入状况进行频数统计</w:t>
      </w:r>
      <w:r>
        <w:rPr>
          <w:rFonts w:hint="eastAsia" w:ascii="宋体" w:hAnsi="宋体" w:eastAsia="宋体" w:cs="宋体"/>
          <w:lang w:eastAsia="zh-CN"/>
        </w:rPr>
        <w:t>。</w:t>
      </w:r>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2）样本特征，行为分析。对于样本进行更深入地分析（除年龄，性别，收入等题项），即对被调查者每月经常购买的婴童产品种类，能够接受婴童产品总支出占家庭总收入的比重，经常购买婴童产品的品牌，倾向于购买哪种类型的婴童产品进行分析等进行频数统计</w:t>
      </w:r>
      <w:r>
        <w:rPr>
          <w:rFonts w:hint="eastAsia" w:ascii="宋体" w:hAnsi="宋体" w:eastAsia="宋体" w:cs="宋体"/>
          <w:lang w:eastAsia="zh-CN"/>
        </w:rPr>
        <w:t>。</w:t>
      </w:r>
    </w:p>
    <w:p>
      <w:pPr>
        <w:spacing w:line="360" w:lineRule="auto"/>
        <w:ind w:firstLine="420" w:firstLineChars="200"/>
        <w:rPr>
          <w:rFonts w:ascii="宋体" w:hAnsi="宋体" w:eastAsia="宋体" w:cs="宋体"/>
        </w:rPr>
      </w:pPr>
      <w:r>
        <w:rPr>
          <w:rFonts w:hint="eastAsia" w:ascii="宋体" w:hAnsi="宋体" w:eastAsia="宋体" w:cs="宋体"/>
        </w:rPr>
        <w:t>（3）核心内容交叉分析，分析不同地区，不同收入等情况下的被调查的行为特征。</w:t>
      </w:r>
    </w:p>
    <w:p>
      <w:pPr>
        <w:spacing w:line="360" w:lineRule="auto"/>
        <w:outlineLvl w:val="2"/>
        <w:rPr>
          <w:rFonts w:ascii="宋体" w:hAnsi="宋体" w:eastAsia="宋体" w:cs="宋体"/>
          <w:szCs w:val="21"/>
        </w:rPr>
      </w:pPr>
      <w:bookmarkStart w:id="25" w:name="_Toc10877"/>
      <w:r>
        <w:rPr>
          <w:rFonts w:hint="eastAsia" w:ascii="宋体" w:hAnsi="宋体" w:eastAsia="宋体" w:cs="宋体"/>
          <w:szCs w:val="21"/>
        </w:rPr>
        <w:t>3.2抖音数据分析</w:t>
      </w:r>
      <w:bookmarkEnd w:id="25"/>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（1）基于直播热度，对于排名靠前的直播间数据进行分析</w:t>
      </w:r>
      <w:r>
        <w:rPr>
          <w:rFonts w:hint="eastAsia" w:ascii="宋体" w:hAnsi="宋体" w:eastAsia="宋体" w:cs="宋体"/>
          <w:lang w:eastAsia="zh-CN"/>
        </w:rPr>
        <w:t>。</w:t>
      </w:r>
      <w:r>
        <w:rPr>
          <w:rFonts w:hint="eastAsia" w:ascii="宋体" w:hAnsi="宋体" w:eastAsia="宋体" w:cs="宋体"/>
        </w:rPr>
        <w:t>对于直播间数据观众来源信息，直播间商品下单信息等进行分类统计。通过这种方式，可以直观地看到直播间转化率和观众的基本信息</w:t>
      </w:r>
      <w:r>
        <w:rPr>
          <w:rFonts w:hint="eastAsia" w:ascii="宋体" w:hAnsi="宋体" w:eastAsia="宋体" w:cs="宋体"/>
          <w:lang w:eastAsia="zh-CN"/>
        </w:rPr>
        <w:t>。</w:t>
      </w:r>
    </w:p>
    <w:p>
      <w:pPr>
        <w:spacing w:line="360" w:lineRule="auto"/>
        <w:ind w:firstLine="420" w:firstLineChars="200"/>
        <w:rPr>
          <w:rFonts w:ascii="宋体" w:hAnsi="宋体" w:eastAsia="宋体" w:cs="宋体"/>
        </w:rPr>
      </w:pPr>
      <w:r>
        <w:rPr>
          <w:rFonts w:hint="eastAsia" w:ascii="宋体" w:hAnsi="宋体" w:eastAsia="宋体" w:cs="宋体"/>
        </w:rPr>
        <w:t>（2）对于直播间观众性别，年龄，地域等社会属性进行频数统计简单的观众画像。</w:t>
      </w:r>
    </w:p>
    <w:p>
      <w:pPr>
        <w:spacing w:line="360" w:lineRule="auto"/>
        <w:outlineLvl w:val="2"/>
        <w:rPr>
          <w:rFonts w:ascii="宋体" w:hAnsi="宋体" w:eastAsia="宋体" w:cs="宋体"/>
          <w:szCs w:val="21"/>
        </w:rPr>
      </w:pPr>
      <w:bookmarkStart w:id="26" w:name="_Toc1596"/>
      <w:r>
        <w:rPr>
          <w:rFonts w:hint="eastAsia" w:ascii="宋体" w:hAnsi="宋体" w:eastAsia="宋体" w:cs="宋体"/>
          <w:szCs w:val="21"/>
        </w:rPr>
        <w:t>3.3小红书等咨询分享平台</w:t>
      </w:r>
      <w:bookmarkEnd w:id="26"/>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（1）首先对于所有笔记的基本信息进行分类统计，得到基于性别比例，地区分布的简单用户画像</w:t>
      </w:r>
      <w:r>
        <w:rPr>
          <w:rFonts w:hint="eastAsia" w:ascii="宋体" w:hAnsi="宋体" w:eastAsia="宋体" w:cs="宋体"/>
          <w:lang w:eastAsia="zh-CN"/>
        </w:rPr>
        <w:t>。</w:t>
      </w:r>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（2）对于笔记关键词，评论关键词和热门评论</w:t>
      </w:r>
      <w:r>
        <w:rPr>
          <w:rFonts w:hint="eastAsia" w:ascii="宋体" w:hAnsi="宋体" w:eastAsia="宋体" w:cs="宋体"/>
          <w:lang w:val="en-US" w:eastAsia="zh-CN"/>
        </w:rPr>
        <w:t>进行</w:t>
      </w:r>
      <w:r>
        <w:rPr>
          <w:rFonts w:hint="eastAsia" w:ascii="宋体" w:hAnsi="宋体" w:eastAsia="宋体" w:cs="宋体"/>
        </w:rPr>
        <w:t>筛选，得到评论词云和部分精选评论</w:t>
      </w:r>
      <w:r>
        <w:rPr>
          <w:rFonts w:hint="eastAsia" w:ascii="宋体" w:hAnsi="宋体" w:eastAsia="宋体" w:cs="宋体"/>
          <w:lang w:eastAsia="zh-CN"/>
        </w:rPr>
        <w:t>，</w:t>
      </w:r>
      <w:r>
        <w:rPr>
          <w:rFonts w:hint="eastAsia" w:ascii="宋体" w:hAnsi="宋体" w:eastAsia="宋体" w:cs="宋体"/>
        </w:rPr>
        <w:t>对于笔记所指向的商品链接的品牌进行统计，得到所有品牌的笔记投放数目</w:t>
      </w:r>
      <w:r>
        <w:rPr>
          <w:rFonts w:hint="eastAsia" w:ascii="宋体" w:hAnsi="宋体" w:eastAsia="宋体" w:cs="宋体"/>
          <w:lang w:eastAsia="zh-CN"/>
        </w:rPr>
        <w:t>。</w:t>
      </w:r>
    </w:p>
    <w:p>
      <w:pPr>
        <w:spacing w:line="360" w:lineRule="auto"/>
        <w:ind w:firstLine="420" w:firstLineChars="200"/>
        <w:rPr>
          <w:rFonts w:ascii="宋体" w:hAnsi="宋体" w:eastAsia="宋体" w:cs="宋体"/>
        </w:rPr>
      </w:pPr>
      <w:r>
        <w:rPr>
          <w:rFonts w:hint="eastAsia" w:ascii="宋体" w:hAnsi="宋体" w:eastAsia="宋体" w:cs="宋体"/>
        </w:rPr>
        <w:t>（3）通过文本分类技术，对于用户笔记进行分类，从而得到用户的兴趣分布。</w:t>
      </w:r>
      <w:r>
        <w:rPr>
          <w:rFonts w:hint="eastAsia" w:ascii="宋体" w:hAnsi="宋体" w:eastAsia="宋体" w:cs="宋体"/>
          <w:lang w:val="en-US" w:eastAsia="zh-CN"/>
        </w:rPr>
        <w:t>我们通过</w:t>
      </w:r>
      <w:r>
        <w:rPr>
          <w:rFonts w:hint="eastAsia" w:ascii="宋体" w:hAnsi="宋体" w:eastAsia="宋体" w:cs="宋体"/>
        </w:rPr>
        <w:t>使用knn分类模型来实现，算法实现如图4所示：</w:t>
      </w:r>
    </w:p>
    <w:p>
      <w:pPr>
        <w:spacing w:line="360" w:lineRule="auto"/>
        <w:jc w:val="center"/>
        <w:rPr>
          <w:rFonts w:ascii="宋体" w:hAnsi="宋体" w:eastAsia="宋体" w:cs="宋体"/>
        </w:rPr>
      </w:pPr>
      <w:r>
        <w:rPr>
          <w:rFonts w:hint="eastAsia" w:ascii="宋体" w:hAnsi="宋体" w:eastAsia="宋体" w:cs="宋体"/>
          <w:sz w:val="24"/>
        </w:rPr>
        <w:drawing>
          <wp:inline distT="0" distB="0" distL="114300" distR="114300">
            <wp:extent cx="5099685" cy="2380615"/>
            <wp:effectExtent l="0" t="0" r="5715" b="63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25"/>
                    <a:stretch>
                      <a:fillRect/>
                    </a:stretch>
                  </pic:blipFill>
                  <pic:spPr>
                    <a:xfrm>
                      <a:off x="0" y="0"/>
                      <a:ext cx="5108921" cy="2385234"/>
                    </a:xfrm>
                    <a:prstGeom prst="rect">
                      <a:avLst/>
                    </a:prstGeom>
                    <a:noFill/>
                    <a:ln w="9525">
                      <a:no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图4 算法实现过程</w:t>
      </w:r>
    </w:p>
    <w:p>
      <w:pPr>
        <w:spacing w:line="360" w:lineRule="auto"/>
        <w:ind w:left="420"/>
        <w:rPr>
          <w:rFonts w:ascii="宋体" w:hAnsi="宋体" w:eastAsia="宋体" w:cs="宋体"/>
        </w:rPr>
      </w:pPr>
      <w:r>
        <w:rPr>
          <w:rFonts w:hint="eastAsia" w:ascii="宋体" w:hAnsi="宋体" w:eastAsia="宋体" w:cs="宋体"/>
        </w:rPr>
        <w:t>（4）通过K-means算法对于热点问题进行预测，算法步骤如下图5所示：</w:t>
      </w:r>
    </w:p>
    <w:p>
      <w:pPr>
        <w:spacing w:line="360" w:lineRule="auto"/>
        <w:jc w:val="center"/>
        <w:rPr>
          <w:rFonts w:ascii="宋体" w:hAnsi="宋体" w:eastAsia="宋体" w:cs="宋体"/>
          <w:sz w:val="24"/>
        </w:rPr>
      </w:pPr>
      <w:r>
        <w:rPr>
          <w:rFonts w:hint="eastAsia" w:ascii="宋体" w:hAnsi="宋体" w:eastAsia="宋体" w:cs="宋体"/>
          <w:sz w:val="24"/>
        </w:rPr>
        <w:drawing>
          <wp:inline distT="0" distB="0" distL="114300" distR="114300">
            <wp:extent cx="2226310" cy="2764790"/>
            <wp:effectExtent l="0" t="0" r="13970" b="889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6"/>
                    <a:stretch>
                      <a:fillRect/>
                    </a:stretch>
                  </pic:blipFill>
                  <pic:spPr>
                    <a:xfrm>
                      <a:off x="0" y="0"/>
                      <a:ext cx="2226310" cy="2764790"/>
                    </a:xfrm>
                    <a:prstGeom prst="rect">
                      <a:avLst/>
                    </a:prstGeom>
                    <a:noFill/>
                    <a:ln w="9525">
                      <a:no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图5 K聚类算法流程图</w:t>
      </w:r>
    </w:p>
    <w:p>
      <w:pPr>
        <w:spacing w:line="360" w:lineRule="auto"/>
        <w:ind w:firstLine="420" w:firstLineChars="200"/>
        <w:rPr>
          <w:rFonts w:hint="eastAsia" w:ascii="宋体" w:hAnsi="宋体" w:eastAsia="宋体" w:cs="宋体"/>
        </w:rPr>
      </w:pPr>
      <w:r>
        <w:rPr>
          <w:rFonts w:hint="eastAsia" w:ascii="宋体" w:hAnsi="宋体" w:eastAsia="宋体" w:cs="宋体"/>
        </w:rPr>
        <w:t>通过聚类可以得到用户关注的热点问题，从而对于热点问题进行预测。</w:t>
      </w:r>
    </w:p>
    <w:p>
      <w:pPr>
        <w:rPr>
          <w:rFonts w:hint="eastAsia" w:ascii="宋体" w:hAnsi="宋体" w:eastAsia="宋体" w:cs="宋体"/>
        </w:rPr>
      </w:pPr>
      <w:r>
        <w:rPr>
          <w:rFonts w:hint="eastAsia" w:ascii="宋体" w:hAnsi="宋体" w:eastAsia="宋体" w:cs="宋体"/>
        </w:rPr>
        <w:br w:type="page"/>
      </w:r>
    </w:p>
    <w:p>
      <w:pPr>
        <w:spacing w:line="360" w:lineRule="auto"/>
        <w:ind w:firstLine="420" w:firstLineChars="200"/>
        <w:rPr>
          <w:rFonts w:hint="eastAsia" w:ascii="宋体" w:hAnsi="宋体" w:eastAsia="宋体" w:cs="宋体"/>
        </w:rPr>
        <w:sectPr>
          <w:headerReference r:id="rId12" w:type="default"/>
          <w:pgSz w:w="11906" w:h="16838"/>
          <w:pgMar w:top="1440" w:right="1800" w:bottom="1440" w:left="1800" w:header="851" w:footer="992" w:gutter="0"/>
          <w:pgNumType w:fmt="decimal"/>
          <w:cols w:space="425" w:num="1"/>
          <w:docGrid w:type="lines" w:linePitch="312" w:charSpace="0"/>
        </w:sectPr>
      </w:pPr>
    </w:p>
    <w:p>
      <w:pPr>
        <w:spacing w:line="360" w:lineRule="auto"/>
        <w:outlineLvl w:val="0"/>
        <w:rPr>
          <w:rFonts w:ascii="宋体" w:hAnsi="宋体" w:eastAsia="宋体" w:cs="宋体"/>
          <w:sz w:val="28"/>
          <w:szCs w:val="28"/>
        </w:rPr>
      </w:pPr>
      <w:bookmarkStart w:id="27" w:name="_Toc1084"/>
      <w:r>
        <w:rPr>
          <w:rFonts w:hint="eastAsia" w:ascii="宋体" w:hAnsi="宋体" w:eastAsia="宋体" w:cs="宋体"/>
          <w:sz w:val="28"/>
          <w:szCs w:val="28"/>
        </w:rPr>
        <w:t>四、分析结果解读</w:t>
      </w:r>
      <w:bookmarkEnd w:id="27"/>
    </w:p>
    <w:p>
      <w:pPr>
        <w:spacing w:line="360" w:lineRule="auto"/>
        <w:outlineLvl w:val="1"/>
        <w:rPr>
          <w:rFonts w:ascii="宋体" w:hAnsi="宋体" w:eastAsia="宋体" w:cs="宋体"/>
          <w:sz w:val="24"/>
        </w:rPr>
      </w:pPr>
      <w:bookmarkStart w:id="28" w:name="_Toc7353"/>
      <w:r>
        <w:rPr>
          <w:rFonts w:hint="eastAsia" w:ascii="宋体" w:hAnsi="宋体" w:eastAsia="宋体" w:cs="宋体"/>
          <w:sz w:val="24"/>
        </w:rPr>
        <w:t>1.婴童行业现状与趋势分析</w:t>
      </w:r>
      <w:bookmarkEnd w:id="28"/>
    </w:p>
    <w:p>
      <w:pPr>
        <w:spacing w:line="360" w:lineRule="auto"/>
        <w:outlineLvl w:val="2"/>
        <w:rPr>
          <w:rFonts w:ascii="宋体" w:hAnsi="宋体" w:eastAsia="宋体" w:cs="宋体"/>
          <w:szCs w:val="21"/>
        </w:rPr>
      </w:pPr>
      <w:bookmarkStart w:id="29" w:name="_Toc2364"/>
      <w:r>
        <w:rPr>
          <w:rFonts w:hint="eastAsia" w:ascii="宋体" w:hAnsi="宋体" w:eastAsia="宋体" w:cs="宋体"/>
          <w:szCs w:val="21"/>
        </w:rPr>
        <w:t>1.1婴童市场宏观状况</w:t>
      </w:r>
      <w:bookmarkEnd w:id="29"/>
    </w:p>
    <w:p>
      <w:pPr>
        <w:spacing w:line="360" w:lineRule="auto"/>
        <w:ind w:firstLine="420" w:firstLineChars="200"/>
        <w:rPr>
          <w:rFonts w:ascii="宋体" w:hAnsi="宋体" w:eastAsia="宋体" w:cs="宋体"/>
        </w:rPr>
      </w:pPr>
      <w:r>
        <w:rPr>
          <w:rFonts w:hint="eastAsia" w:ascii="宋体" w:hAnsi="宋体" w:eastAsia="宋体" w:cs="宋体"/>
        </w:rPr>
        <w:t>（1）婴童市场规模稳步增长，预计2023年将超4万亿</w:t>
      </w:r>
    </w:p>
    <w:p>
      <w:pPr>
        <w:spacing w:line="360" w:lineRule="auto"/>
        <w:ind w:firstLine="420" w:firstLineChars="200"/>
        <w:rPr>
          <w:rFonts w:ascii="宋体" w:hAnsi="宋体" w:eastAsia="宋体" w:cs="宋体"/>
        </w:rPr>
      </w:pPr>
      <w:r>
        <w:rPr>
          <w:rFonts w:hint="eastAsia" w:ascii="宋体" w:hAnsi="宋体" w:eastAsia="宋体" w:cs="宋体"/>
        </w:rPr>
        <w:t>尽管近年来人口出生率持续走低，但随着人均可支配收入的增加以及婴童家庭消费能力的提升，中国婴童市场持续增长，2021年中国婴童消费规模达34591亿元而经过调研，目前已育中国家庭每月愿意为婴童产品支付1000元以内的情况占比合计约为80%，平均消费水平较低，下沉市场空间较大，具体数据如图6、图7所示：</w:t>
      </w:r>
    </w:p>
    <w:p>
      <w:pPr>
        <w:pStyle w:val="11"/>
        <w:shd w:val="clear" w:color="auto" w:fill="FFFFFF"/>
        <w:spacing w:before="0" w:beforeAutospacing="0" w:after="0" w:afterAutospacing="0" w:line="360" w:lineRule="auto"/>
        <w:jc w:val="both"/>
        <w:textAlignment w:val="baseline"/>
        <w:rPr>
          <w:rStyle w:val="15"/>
          <w:rFonts w:hint="eastAsia" w:eastAsia="宋体"/>
          <w:color w:val="262626"/>
          <w:sz w:val="22"/>
          <w:szCs w:val="22"/>
          <w:lang w:val="en-US" w:eastAsia="zh-CN"/>
        </w:rPr>
      </w:pPr>
      <w:r>
        <w:rPr>
          <w:rFonts w:hint="eastAsia"/>
          <w:b/>
          <w:bCs/>
          <w:color w:val="262626"/>
          <w:sz w:val="22"/>
          <w:szCs w:val="22"/>
        </w:rPr>
        <w:drawing>
          <wp:inline distT="0" distB="0" distL="0" distR="0">
            <wp:extent cx="2418715" cy="1756410"/>
            <wp:effectExtent l="4445" t="4445" r="15240" b="698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rFonts w:hint="eastAsia"/>
          <w:b/>
          <w:bCs/>
          <w:color w:val="262626"/>
          <w:sz w:val="22"/>
          <w:szCs w:val="22"/>
          <w:lang w:val="en-US" w:eastAsia="zh-CN"/>
        </w:rPr>
        <w:t xml:space="preserve">     </w:t>
      </w:r>
      <w:r>
        <w:rPr>
          <w:rFonts w:hint="eastAsia"/>
          <w:b/>
          <w:bCs/>
          <w:color w:val="262626"/>
          <w:sz w:val="22"/>
          <w:szCs w:val="22"/>
        </w:rPr>
        <w:drawing>
          <wp:inline distT="0" distB="0" distL="0" distR="0">
            <wp:extent cx="2473960" cy="1732280"/>
            <wp:effectExtent l="4445" t="4445" r="5715" b="1587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11"/>
        <w:shd w:val="clear" w:color="auto" w:fill="FFFFFF"/>
        <w:spacing w:before="0" w:beforeAutospacing="0" w:after="0" w:afterAutospacing="0" w:line="360" w:lineRule="auto"/>
        <w:jc w:val="center"/>
        <w:textAlignment w:val="baseline"/>
        <w:rPr>
          <w:rStyle w:val="15"/>
          <w:b w:val="0"/>
          <w:bCs w:val="0"/>
          <w:color w:val="262626"/>
          <w:sz w:val="18"/>
          <w:szCs w:val="18"/>
        </w:rPr>
      </w:pPr>
      <w:r>
        <w:rPr>
          <w:rStyle w:val="15"/>
          <w:rFonts w:hint="eastAsia"/>
          <w:b w:val="0"/>
          <w:bCs w:val="0"/>
          <w:color w:val="262626"/>
          <w:sz w:val="18"/>
          <w:szCs w:val="18"/>
        </w:rPr>
        <w:t xml:space="preserve">图6 </w:t>
      </w:r>
      <w:r>
        <w:rPr>
          <w:rFonts w:hint="eastAsia"/>
          <w:color w:val="262626"/>
          <w:sz w:val="18"/>
          <w:szCs w:val="18"/>
        </w:rPr>
        <w:t xml:space="preserve">2017-2022年中国婴童市场消费规模          </w:t>
      </w:r>
      <w:r>
        <w:rPr>
          <w:rFonts w:hint="eastAsia"/>
          <w:color w:val="262626"/>
          <w:sz w:val="18"/>
          <w:szCs w:val="18"/>
          <w:lang w:val="en-US" w:eastAsia="zh-CN"/>
        </w:rPr>
        <w:t xml:space="preserve">      </w:t>
      </w:r>
      <w:r>
        <w:rPr>
          <w:rFonts w:hint="eastAsia"/>
          <w:color w:val="262626"/>
          <w:sz w:val="18"/>
          <w:szCs w:val="18"/>
        </w:rPr>
        <w:t>图7 中国家庭每月在婴童产品上支出范围</w:t>
      </w:r>
    </w:p>
    <w:p>
      <w:pPr>
        <w:spacing w:line="360" w:lineRule="auto"/>
        <w:ind w:firstLine="420" w:firstLineChars="200"/>
        <w:rPr>
          <w:rFonts w:ascii="宋体" w:hAnsi="宋体" w:eastAsia="宋体" w:cs="宋体"/>
        </w:rPr>
      </w:pPr>
      <w:r>
        <w:rPr>
          <w:rFonts w:hint="eastAsia" w:ascii="宋体" w:hAnsi="宋体" w:eastAsia="宋体" w:cs="宋体"/>
        </w:rPr>
        <w:t>（2）婴童快消品市场不同渠道购买力持续扩大，线下渠道购买力回升</w:t>
      </w:r>
    </w:p>
    <w:p>
      <w:pPr>
        <w:spacing w:line="360" w:lineRule="auto"/>
        <w:ind w:firstLine="420" w:firstLineChars="200"/>
        <w:rPr>
          <w:rFonts w:ascii="宋体" w:hAnsi="宋体" w:eastAsia="宋体" w:cs="宋体"/>
        </w:rPr>
      </w:pPr>
      <w:r>
        <w:rPr>
          <w:rFonts w:hint="eastAsia" w:ascii="宋体" w:hAnsi="宋体" w:eastAsia="宋体" w:cs="宋体"/>
        </w:rPr>
        <w:t>经过调研，目前中国家庭购买婴童产品的渠道线上线下占比较为均衡，其中线下以大型超市、便利店为主，而线上以淘宝、京东等电商为主。目前线下婴童快消品市场逐步回暖，线上增速回归理智，线上线下优势品类不同，应合理安排，具体数据如图8、图9所示：</w:t>
      </w:r>
    </w:p>
    <w:p>
      <w:pPr>
        <w:spacing w:line="360" w:lineRule="auto"/>
        <w:rPr>
          <w:rFonts w:hint="default" w:ascii="宋体" w:hAnsi="宋体" w:eastAsia="宋体" w:cs="宋体"/>
          <w:lang w:val="en-US" w:eastAsia="zh-CN"/>
        </w:rPr>
      </w:pPr>
      <w:r>
        <w:rPr>
          <w:rFonts w:hint="eastAsia" w:ascii="宋体" w:hAnsi="宋体" w:eastAsia="宋体" w:cs="宋体"/>
          <w:sz w:val="12"/>
          <w:szCs w:val="12"/>
          <w:lang w:val="en-US" w:eastAsia="zh-CN"/>
        </w:rPr>
        <w:t xml:space="preserve"> </w:t>
      </w:r>
      <w:r>
        <w:rPr>
          <w:rFonts w:hint="eastAsia" w:ascii="宋体" w:hAnsi="宋体" w:eastAsia="宋体" w:cs="宋体"/>
          <w:sz w:val="15"/>
          <w:szCs w:val="16"/>
        </w:rPr>
        <w:drawing>
          <wp:inline distT="0" distB="0" distL="0" distR="0">
            <wp:extent cx="2312670" cy="1724660"/>
            <wp:effectExtent l="5080" t="4445" r="13970" b="82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rFonts w:hint="eastAsia" w:ascii="宋体" w:hAnsi="宋体" w:eastAsia="宋体" w:cs="宋体"/>
          <w:sz w:val="15"/>
          <w:szCs w:val="16"/>
          <w:lang w:val="en-US" w:eastAsia="zh-CN"/>
        </w:rPr>
        <w:t xml:space="preserve">        </w:t>
      </w:r>
      <w:r>
        <w:rPr>
          <w:rFonts w:hint="eastAsia" w:ascii="宋体" w:hAnsi="宋体" w:eastAsia="宋体" w:cs="宋体"/>
          <w:sz w:val="12"/>
          <w:szCs w:val="12"/>
        </w:rPr>
        <w:drawing>
          <wp:inline distT="0" distB="0" distL="0" distR="0">
            <wp:extent cx="2359025" cy="1696085"/>
            <wp:effectExtent l="4445" t="4445" r="13970" b="635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spacing w:line="360" w:lineRule="auto"/>
        <w:ind w:firstLine="720" w:firstLineChars="400"/>
        <w:jc w:val="both"/>
        <w:rPr>
          <w:rFonts w:ascii="宋体" w:hAnsi="宋体" w:eastAsia="宋体" w:cs="宋体"/>
          <w:sz w:val="18"/>
          <w:szCs w:val="21"/>
        </w:rPr>
      </w:pPr>
      <w:r>
        <w:rPr>
          <w:rFonts w:hint="eastAsia" w:ascii="宋体" w:hAnsi="宋体" w:eastAsia="宋体" w:cs="宋体"/>
          <w:sz w:val="18"/>
          <w:szCs w:val="21"/>
        </w:rPr>
        <w:t xml:space="preserve">图8 中国家庭购买婴童产品的渠道占比          </w:t>
      </w:r>
      <w:r>
        <w:rPr>
          <w:rFonts w:hint="eastAsia" w:ascii="宋体" w:hAnsi="宋体" w:eastAsia="宋体" w:cs="宋体"/>
          <w:sz w:val="18"/>
          <w:szCs w:val="21"/>
          <w:lang w:val="en-US" w:eastAsia="zh-CN"/>
        </w:rPr>
        <w:t xml:space="preserve"> </w:t>
      </w:r>
      <w:r>
        <w:rPr>
          <w:rFonts w:hint="eastAsia" w:ascii="宋体" w:hAnsi="宋体" w:eastAsia="宋体" w:cs="宋体"/>
          <w:sz w:val="18"/>
          <w:szCs w:val="21"/>
        </w:rPr>
        <w:t>图9 母婴快消品类销售额同比增速</w:t>
      </w:r>
    </w:p>
    <w:p>
      <w:pPr>
        <w:spacing w:line="360" w:lineRule="auto"/>
        <w:ind w:firstLine="422" w:firstLineChars="200"/>
        <w:rPr>
          <w:rFonts w:ascii="宋体" w:hAnsi="宋体" w:eastAsia="宋体" w:cs="宋体"/>
          <w:b/>
          <w:bCs/>
        </w:rPr>
      </w:pPr>
      <w:r>
        <w:rPr>
          <w:rFonts w:hint="eastAsia" w:ascii="宋体" w:hAnsi="宋体" w:eastAsia="宋体" w:cs="宋体"/>
          <w:b/>
          <w:bCs/>
        </w:rPr>
        <w:br w:type="page"/>
      </w:r>
    </w:p>
    <w:p>
      <w:pPr>
        <w:spacing w:line="360" w:lineRule="auto"/>
        <w:ind w:firstLine="420" w:firstLineChars="200"/>
        <w:rPr>
          <w:rFonts w:ascii="宋体" w:hAnsi="宋体" w:eastAsia="宋体" w:cs="宋体"/>
        </w:rPr>
      </w:pPr>
      <w:r>
        <w:rPr>
          <w:rFonts w:hint="eastAsia" w:ascii="宋体" w:hAnsi="宋体" w:eastAsia="宋体" w:cs="宋体"/>
        </w:rPr>
        <w:t>（3）商品性价比、实用性与品牌知名度十分关键</w:t>
      </w:r>
    </w:p>
    <w:p>
      <w:pPr>
        <w:spacing w:line="360" w:lineRule="auto"/>
        <w:ind w:firstLine="420" w:firstLineChars="200"/>
        <w:rPr>
          <w:rFonts w:ascii="宋体" w:hAnsi="宋体" w:eastAsia="宋体" w:cs="宋体"/>
        </w:rPr>
      </w:pPr>
      <w:r>
        <w:rPr>
          <w:rFonts w:hint="eastAsia" w:ascii="宋体" w:hAnsi="宋体" w:eastAsia="宋体" w:cs="宋体"/>
        </w:rPr>
        <w:t>婴童行业下沉市场空间较大，消费者的价格敏感性较高，同时由于婴童产品需求刚性，使消费者更注重性价比。目前，实用性成为用户购买婴童产品时所考虑的关键的因素之一，他们对更实用的产品的支付意愿更高；品牌口碑也是购买婴童产品时关键的考虑因素，良好的品牌口碑代表着消费者对品牌、对商品的认可，并且经过研究，约有80%的消费者关注产品品牌，并且更倾向于选择国内一线品牌，具体数据如图10、图11所示：</w:t>
      </w:r>
    </w:p>
    <w:p>
      <w:pPr>
        <w:spacing w:line="360" w:lineRule="auto"/>
        <w:rPr>
          <w:rFonts w:ascii="宋体" w:hAnsi="宋体" w:eastAsia="宋体" w:cs="宋体"/>
          <w:b/>
          <w:bCs/>
        </w:rPr>
      </w:pPr>
      <w:r>
        <w:rPr>
          <w:rFonts w:hint="eastAsia" w:ascii="宋体" w:hAnsi="宋体" w:eastAsia="宋体" w:cs="宋体"/>
          <w:lang w:val="zh-CN"/>
        </w:rPr>
        <w:drawing>
          <wp:inline distT="0" distB="0" distL="0" distR="0">
            <wp:extent cx="2495550" cy="1754505"/>
            <wp:effectExtent l="0" t="0" r="0" b="1714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hint="eastAsia" w:ascii="宋体" w:hAnsi="宋体" w:eastAsia="宋体" w:cs="宋体"/>
          <w:lang w:val="en-US" w:eastAsia="zh-CN"/>
        </w:rPr>
        <w:t xml:space="preserve">  </w:t>
      </w:r>
      <w:r>
        <w:rPr>
          <w:rFonts w:hint="eastAsia" w:ascii="宋体" w:hAnsi="宋体" w:eastAsia="宋体" w:cs="宋体"/>
          <w:lang w:val="zh-CN"/>
        </w:rPr>
        <w:drawing>
          <wp:inline distT="0" distB="0" distL="0" distR="0">
            <wp:extent cx="2615565" cy="1768475"/>
            <wp:effectExtent l="4445" t="4445" r="8890" b="825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spacing w:line="360" w:lineRule="auto"/>
        <w:rPr>
          <w:rFonts w:ascii="宋体" w:hAnsi="宋体" w:eastAsia="宋体" w:cs="宋体"/>
          <w:sz w:val="16"/>
          <w:szCs w:val="20"/>
        </w:rPr>
      </w:pPr>
      <w:r>
        <w:rPr>
          <w:rFonts w:hint="eastAsia" w:ascii="宋体" w:hAnsi="宋体" w:eastAsia="宋体" w:cs="宋体"/>
          <w:sz w:val="16"/>
          <w:szCs w:val="20"/>
        </w:rPr>
        <w:t>图10 中国消费者购买婴童产品时对相关因素的重视程度  图11 中国消费者对婴童产品的品牌关注度</w:t>
      </w:r>
    </w:p>
    <w:p>
      <w:pPr>
        <w:spacing w:line="360" w:lineRule="auto"/>
        <w:ind w:firstLine="420" w:firstLineChars="200"/>
        <w:rPr>
          <w:rFonts w:ascii="宋体" w:hAnsi="宋体" w:eastAsia="宋体" w:cs="宋体"/>
        </w:rPr>
      </w:pPr>
      <w:r>
        <w:rPr>
          <w:rFonts w:hint="eastAsia" w:ascii="宋体" w:hAnsi="宋体" w:eastAsia="宋体" w:cs="宋体"/>
        </w:rPr>
        <w:t>（4）婴童产品用户迭代速度快</w:t>
      </w:r>
    </w:p>
    <w:p>
      <w:pPr>
        <w:spacing w:line="360" w:lineRule="auto"/>
        <w:ind w:firstLine="420" w:firstLineChars="200"/>
        <w:rPr>
          <w:rFonts w:ascii="宋体" w:hAnsi="宋体" w:eastAsia="宋体" w:cs="宋体"/>
        </w:rPr>
      </w:pPr>
      <w:r>
        <w:rPr>
          <w:rFonts w:hint="eastAsia" w:ascii="宋体" w:hAnsi="宋体" w:eastAsia="宋体" w:cs="宋体"/>
        </w:rPr>
        <w:t>婴童产品用户在婴童线上平台的活跃程度随婴童年龄发生变化：0-3岁期间，是用户活跃的黄金期，婴童用户在婴童线上平台的活跃度较高；3岁之后，婴童用户的使用率随宝宝年龄增长而下降，婴童消费属性逐渐弱化；在儿童8岁左右时，婴童用户转向综合性线上平台，周期分布如图12所示：</w:t>
      </w:r>
    </w:p>
    <w:p>
      <w:pPr>
        <w:spacing w:line="360" w:lineRule="auto"/>
        <w:jc w:val="center"/>
        <w:rPr>
          <w:rFonts w:ascii="宋体" w:hAnsi="宋体" w:eastAsia="宋体" w:cs="宋体"/>
        </w:rPr>
      </w:pPr>
      <w:r>
        <w:rPr>
          <w:rFonts w:hint="eastAsia" w:ascii="宋体" w:hAnsi="宋体" w:eastAsia="宋体" w:cs="宋体"/>
        </w:rPr>
        <w:drawing>
          <wp:inline distT="0" distB="0" distL="0" distR="0">
            <wp:extent cx="2318385" cy="1146175"/>
            <wp:effectExtent l="12700" t="12700" r="2159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cstate="print">
                      <a:extLst>
                        <a:ext uri="{28A0092B-C50C-407E-A947-70E740481C1C}">
                          <a14:useLocalDpi xmlns:a14="http://schemas.microsoft.com/office/drawing/2010/main" val="0"/>
                        </a:ext>
                      </a:extLst>
                    </a:blip>
                    <a:srcRect t="8221"/>
                    <a:stretch>
                      <a:fillRect/>
                    </a:stretch>
                  </pic:blipFill>
                  <pic:spPr>
                    <a:xfrm>
                      <a:off x="0" y="0"/>
                      <a:ext cx="2334056" cy="1153886"/>
                    </a:xfrm>
                    <a:prstGeom prst="rect">
                      <a:avLst/>
                    </a:prstGeom>
                    <a:ln w="12700" cmpd="sng">
                      <a:solidFill>
                        <a:schemeClr val="bg2"/>
                      </a:solidFill>
                      <a:prstDash val="solid"/>
                    </a:ln>
                  </pic:spPr>
                </pic:pic>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图12 中国婴童平台用户生命周期</w:t>
      </w:r>
    </w:p>
    <w:p>
      <w:pPr>
        <w:spacing w:line="360" w:lineRule="auto"/>
        <w:rPr>
          <w:rFonts w:ascii="宋体" w:hAnsi="宋体" w:eastAsia="宋体" w:cs="宋体"/>
          <w:sz w:val="24"/>
        </w:rPr>
      </w:pPr>
      <w:r>
        <w:rPr>
          <w:rFonts w:hint="eastAsia" w:ascii="宋体" w:hAnsi="宋体" w:eastAsia="宋体" w:cs="宋体"/>
          <w:sz w:val="24"/>
        </w:rPr>
        <w:br w:type="page"/>
      </w:r>
    </w:p>
    <w:p>
      <w:pPr>
        <w:spacing w:line="360" w:lineRule="auto"/>
        <w:outlineLvl w:val="2"/>
        <w:rPr>
          <w:rFonts w:ascii="宋体" w:hAnsi="宋体" w:eastAsia="宋体" w:cs="宋体"/>
          <w:szCs w:val="21"/>
        </w:rPr>
      </w:pPr>
      <w:bookmarkStart w:id="30" w:name="_Toc6516"/>
      <w:r>
        <w:rPr>
          <w:rFonts w:hint="eastAsia" w:ascii="宋体" w:hAnsi="宋体" w:eastAsia="宋体" w:cs="宋体"/>
          <w:szCs w:val="21"/>
        </w:rPr>
        <w:t>1.2婴童重点品类分析</w:t>
      </w:r>
      <w:bookmarkEnd w:id="30"/>
    </w:p>
    <w:p>
      <w:pPr>
        <w:spacing w:line="360" w:lineRule="auto"/>
        <w:ind w:firstLine="420" w:firstLineChars="200"/>
        <w:rPr>
          <w:rFonts w:ascii="宋体" w:hAnsi="宋体" w:eastAsia="宋体" w:cs="宋体"/>
        </w:rPr>
      </w:pPr>
      <w:r>
        <w:rPr>
          <w:rFonts w:hint="eastAsia" w:ascii="宋体" w:hAnsi="宋体" w:eastAsia="宋体" w:cs="宋体"/>
        </w:rPr>
        <w:t>我们将婴童产品按照食品、服装、日用品和兴趣爱好四个品类划分并展开分析，其中食品类是占比最大的婴童品类，剩余三类占比较为均衡，数据如图13所示：</w:t>
      </w:r>
    </w:p>
    <w:p>
      <w:pPr>
        <w:spacing w:line="360" w:lineRule="auto"/>
        <w:jc w:val="center"/>
        <w:rPr>
          <w:rFonts w:ascii="宋体" w:hAnsi="宋体" w:eastAsia="宋体" w:cs="宋体"/>
        </w:rPr>
      </w:pPr>
      <w:r>
        <w:rPr>
          <w:rFonts w:hint="eastAsia" w:ascii="宋体" w:hAnsi="宋体" w:eastAsia="宋体" w:cs="宋体"/>
        </w:rPr>
        <w:drawing>
          <wp:inline distT="0" distB="0" distL="0" distR="0">
            <wp:extent cx="2987675" cy="1858010"/>
            <wp:effectExtent l="4445" t="4445" r="8255" b="1397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图13 婴童产品品类分布</w:t>
      </w:r>
    </w:p>
    <w:p>
      <w:pPr>
        <w:spacing w:line="360" w:lineRule="auto"/>
        <w:ind w:firstLine="420" w:firstLineChars="200"/>
        <w:rPr>
          <w:rFonts w:ascii="宋体" w:hAnsi="宋体" w:eastAsia="宋体" w:cs="宋体"/>
        </w:rPr>
      </w:pPr>
      <w:r>
        <w:rPr>
          <w:rFonts w:hint="eastAsia" w:ascii="宋体" w:hAnsi="宋体" w:eastAsia="宋体" w:cs="宋体"/>
        </w:rPr>
        <w:t>1.2.1食品类</w:t>
      </w:r>
    </w:p>
    <w:p>
      <w:pPr>
        <w:spacing w:line="360" w:lineRule="auto"/>
        <w:ind w:firstLine="420" w:firstLineChars="200"/>
        <w:rPr>
          <w:rFonts w:ascii="宋体" w:hAnsi="宋体" w:eastAsia="宋体" w:cs="宋体"/>
        </w:rPr>
      </w:pPr>
      <w:r>
        <w:rPr>
          <w:rFonts w:hint="eastAsia" w:ascii="宋体" w:hAnsi="宋体" w:eastAsia="宋体" w:cs="宋体"/>
        </w:rPr>
        <w:t>食品类中米饼、泡芙等零食和婴儿调味品用户购买率高，选择经常购买的用户占比接近50%，相比之下，主食类购买率较低，同数据低于30%，具体占比如图14所示：</w:t>
      </w:r>
      <w:r>
        <w:rPr>
          <w:rFonts w:hint="eastAsia" w:ascii="宋体" w:hAnsi="宋体" w:eastAsia="宋体" w:cs="宋体"/>
        </w:rPr>
        <w:tab/>
      </w:r>
    </w:p>
    <w:p>
      <w:pPr>
        <w:spacing w:line="360" w:lineRule="auto"/>
        <w:ind w:firstLine="420" w:firstLineChars="200"/>
        <w:rPr>
          <w:rFonts w:ascii="宋体" w:hAnsi="宋体" w:eastAsia="宋体" w:cs="宋体"/>
        </w:rPr>
      </w:pPr>
      <w:r>
        <w:rPr>
          <w:rFonts w:hint="eastAsia" w:ascii="宋体" w:hAnsi="宋体" w:eastAsia="宋体" w:cs="宋体"/>
        </w:rPr>
        <w:drawing>
          <wp:inline distT="0" distB="0" distL="114300" distR="114300">
            <wp:extent cx="4926965" cy="2183130"/>
            <wp:effectExtent l="4445" t="4445" r="12065" b="1270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图14 经常购买的婴童食品分布图</w:t>
      </w:r>
    </w:p>
    <w:p>
      <w:pPr>
        <w:spacing w:line="360" w:lineRule="auto"/>
        <w:ind w:firstLine="420" w:firstLineChars="200"/>
        <w:rPr>
          <w:rFonts w:ascii="宋体" w:hAnsi="宋体" w:eastAsia="宋体" w:cs="宋体"/>
        </w:rPr>
      </w:pPr>
      <w:r>
        <w:rPr>
          <w:rFonts w:hint="eastAsia" w:ascii="宋体" w:hAnsi="宋体" w:eastAsia="宋体" w:cs="宋体"/>
        </w:rPr>
        <w:t>价格方面，用户对婴童食品价格有一定让步空间，特别是营养强化的婴童食品，所以提高营养可以成为婴童食品需重点考量的方向。接近半数用户愿意接受高于普通食品10-20元的价格来购买婴童食品，而对于强化营养的婴童食品，该价格区间提高到20-40元，具体占比如图15所示：</w:t>
      </w:r>
    </w:p>
    <w:p>
      <w:pPr>
        <w:spacing w:line="360" w:lineRule="auto"/>
        <w:rPr>
          <w:rFonts w:ascii="宋体" w:hAnsi="宋体" w:eastAsia="宋体" w:cs="宋体"/>
          <w:sz w:val="18"/>
          <w:szCs w:val="18"/>
        </w:rPr>
      </w:pPr>
      <w:r>
        <w:rPr>
          <w:rFonts w:hint="eastAsia" w:ascii="宋体" w:hAnsi="宋体" w:eastAsia="宋体" w:cs="宋体"/>
          <w:sz w:val="18"/>
          <w:szCs w:val="18"/>
        </w:rPr>
        <w:br w:type="page"/>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018915" cy="2684145"/>
            <wp:effectExtent l="4445" t="4445" r="5715" b="6985"/>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图15 接受高于普通食品的价格区间对比</w:t>
      </w:r>
    </w:p>
    <w:p>
      <w:pPr>
        <w:spacing w:line="360" w:lineRule="auto"/>
        <w:ind w:firstLine="420" w:firstLineChars="200"/>
        <w:rPr>
          <w:rFonts w:ascii="宋体" w:hAnsi="宋体" w:eastAsia="宋体" w:cs="宋体"/>
        </w:rPr>
        <w:sectPr>
          <w:headerReference r:id="rId13"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rPr>
        <w:t>婴童食品关键词突出产品成分、安全和味道。绝大部分用户选购时面临“不知道选择什么成分”的问题，另一方面，用户认为味道与外形吸引力存在较明显的不足，但根本上认为改进的重点要放在安全与营养上，占比分布如图16、图17所示：</w:t>
      </w:r>
    </w:p>
    <w:p>
      <w:pPr>
        <w:spacing w:line="360" w:lineRule="auto"/>
        <w:jc w:val="left"/>
        <w:rPr>
          <w:rFonts w:ascii="宋体" w:hAnsi="宋体" w:eastAsia="宋体" w:cs="宋体"/>
          <w:lang w:val="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r>
        <w:rPr>
          <w:rFonts w:hint="eastAsia" w:ascii="宋体" w:hAnsi="宋体" w:eastAsia="宋体" w:cs="宋体"/>
          <w:lang w:val="zh-CN"/>
        </w:rPr>
        <w:drawing>
          <wp:inline distT="0" distB="0" distL="0" distR="0">
            <wp:extent cx="2397125" cy="1871980"/>
            <wp:effectExtent l="4445" t="4445" r="8255" b="9525"/>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rFonts w:hint="eastAsia" w:ascii="宋体" w:hAnsi="宋体" w:eastAsia="宋体" w:cs="宋体"/>
        </w:rPr>
        <w:drawing>
          <wp:inline distT="0" distB="0" distL="114300" distR="114300">
            <wp:extent cx="2887345" cy="1906905"/>
            <wp:effectExtent l="4445" t="4445" r="13335" b="1270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spacing w:line="360" w:lineRule="auto"/>
        <w:ind w:firstLine="900" w:firstLineChars="500"/>
        <w:rPr>
          <w:rFonts w:ascii="宋体" w:hAnsi="宋体" w:eastAsia="宋体" w:cs="宋体"/>
          <w:sz w:val="18"/>
          <w:szCs w:val="18"/>
        </w:rPr>
      </w:pPr>
      <w:r>
        <w:rPr>
          <w:rFonts w:hint="eastAsia" w:ascii="宋体" w:hAnsi="宋体" w:eastAsia="宋体" w:cs="宋体"/>
          <w:sz w:val="18"/>
          <w:szCs w:val="21"/>
        </w:rPr>
        <w:t>图16</w:t>
      </w:r>
      <w:r>
        <w:rPr>
          <w:rFonts w:hint="eastAsia" w:ascii="宋体" w:hAnsi="宋体" w:eastAsia="宋体" w:cs="宋体"/>
        </w:rPr>
        <w:t xml:space="preserve"> </w:t>
      </w:r>
      <w:r>
        <w:rPr>
          <w:rFonts w:hint="eastAsia" w:ascii="宋体" w:hAnsi="宋体" w:eastAsia="宋体" w:cs="宋体"/>
          <w:sz w:val="18"/>
          <w:szCs w:val="18"/>
        </w:rPr>
        <w:t>认为婴童产品存在的不足             图17 在婴童食品选购中都遇到过的问题</w:t>
      </w:r>
    </w:p>
    <w:p>
      <w:pPr>
        <w:spacing w:line="360" w:lineRule="auto"/>
        <w:ind w:firstLine="420" w:firstLineChars="200"/>
        <w:rPr>
          <w:rFonts w:ascii="宋体" w:hAnsi="宋体" w:eastAsia="宋体" w:cs="宋体"/>
        </w:rPr>
      </w:pPr>
      <w:r>
        <w:rPr>
          <w:rFonts w:hint="eastAsia" w:ascii="宋体" w:hAnsi="宋体" w:eastAsia="宋体" w:cs="宋体"/>
        </w:rPr>
        <w:t>1.2.2服装类</w:t>
      </w:r>
    </w:p>
    <w:p>
      <w:pPr>
        <w:spacing w:line="360" w:lineRule="auto"/>
        <w:ind w:firstLine="420" w:firstLineChars="200"/>
        <w:rPr>
          <w:rFonts w:ascii="宋体" w:hAnsi="宋体" w:eastAsia="宋体" w:cs="宋体"/>
        </w:rPr>
      </w:pPr>
      <w:r>
        <w:rPr>
          <w:rFonts w:hint="eastAsia" w:ascii="宋体" w:hAnsi="宋体" w:eastAsia="宋体" w:cs="宋体"/>
        </w:rPr>
        <w:t>在优生优育理念的不断普及和强化的背景下，我国儿童人均童装消费支出将会持续上升，童装行业市场规模将会不断提升。消费者购买婴童服装的每月意愿支出500元以内占比55%，平均意愿支出金额略低于食品类。从购买频次来看，消费者更倾向于换季前后为孩童添置衣物，其次会结合孩子成长速度、家庭经济状况决定衣物消费频次。从相关因素的重要程度来看，大多数家长更重视衣服的面料手感，关注孩子穿衣舒适度，其次品牌知名度和图案色彩消费者抉择购买婴童衣物的重要影响因素。同时我们关注到，消费者购买婴童衣服时更倾向于单件购买，而很少关注搭配，占比分布如图18-图21所示：</w:t>
      </w:r>
    </w:p>
    <w:p>
      <w:pPr>
        <w:spacing w:line="360" w:lineRule="auto"/>
        <w:rPr>
          <w:rFonts w:hint="default" w:ascii="宋体" w:hAnsi="宋体" w:eastAsia="宋体" w:cs="宋体"/>
          <w:lang w:val="en-US" w:eastAsia="zh-CN"/>
        </w:rPr>
      </w:pPr>
      <w:r>
        <w:rPr>
          <w:rFonts w:hint="eastAsia" w:ascii="宋体" w:hAnsi="宋体" w:eastAsia="宋体" w:cs="宋体"/>
        </w:rPr>
        <w:drawing>
          <wp:inline distT="0" distB="0" distL="0" distR="0">
            <wp:extent cx="2461895" cy="1938020"/>
            <wp:effectExtent l="4445" t="4445" r="17780" b="825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rFonts w:hint="eastAsia" w:ascii="宋体" w:hAnsi="宋体" w:eastAsia="宋体" w:cs="宋体"/>
          <w:lang w:val="en-US" w:eastAsia="zh-CN"/>
        </w:rPr>
        <w:t xml:space="preserve">  </w:t>
      </w:r>
      <w:r>
        <w:rPr>
          <w:rFonts w:hint="eastAsia" w:ascii="宋体" w:hAnsi="宋体" w:eastAsia="宋体" w:cs="宋体"/>
        </w:rPr>
        <w:drawing>
          <wp:inline distT="0" distB="0" distL="0" distR="0">
            <wp:extent cx="2553335" cy="1931035"/>
            <wp:effectExtent l="5080" t="4445" r="17145" b="1524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图18 婴童服装支出意愿占比                    图19 婴童服装购买频次</w:t>
      </w:r>
    </w:p>
    <w:p>
      <w:pPr>
        <w:spacing w:line="360" w:lineRule="auto"/>
        <w:rPr>
          <w:rFonts w:hint="default" w:ascii="宋体" w:hAnsi="宋体" w:eastAsia="宋体" w:cs="宋体"/>
          <w:lang w:val="en-US" w:eastAsia="zh-CN"/>
        </w:rPr>
      </w:pPr>
      <w:r>
        <w:rPr>
          <w:rFonts w:hint="eastAsia" w:ascii="宋体" w:hAnsi="宋体" w:eastAsia="宋体" w:cs="宋体"/>
        </w:rPr>
        <w:drawing>
          <wp:inline distT="0" distB="0" distL="0" distR="0">
            <wp:extent cx="2461895" cy="1920240"/>
            <wp:effectExtent l="4445" t="4445" r="17780" b="10795"/>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rFonts w:hint="eastAsia" w:ascii="宋体" w:hAnsi="宋体" w:eastAsia="宋体" w:cs="宋体"/>
          <w:lang w:val="en-US" w:eastAsia="zh-CN"/>
        </w:rPr>
        <w:t xml:space="preserve">  </w:t>
      </w:r>
      <w:r>
        <w:rPr>
          <w:rFonts w:hint="eastAsia" w:ascii="宋体" w:hAnsi="宋体" w:eastAsia="宋体" w:cs="宋体"/>
        </w:rPr>
        <w:drawing>
          <wp:inline distT="0" distB="0" distL="0" distR="0">
            <wp:extent cx="2566670" cy="1931035"/>
            <wp:effectExtent l="5080" t="4445" r="19050" b="1524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图20 婴童服装相关因素重要程度                    图21 婴童服装搭配意愿</w:t>
      </w:r>
    </w:p>
    <w:p>
      <w:pPr>
        <w:spacing w:line="360" w:lineRule="auto"/>
        <w:ind w:firstLine="420" w:firstLineChars="200"/>
        <w:rPr>
          <w:rFonts w:ascii="宋体" w:hAnsi="宋体" w:eastAsia="宋体" w:cs="宋体"/>
        </w:rPr>
      </w:pPr>
      <w:r>
        <w:rPr>
          <w:rFonts w:hint="eastAsia" w:ascii="宋体" w:hAnsi="宋体" w:eastAsia="宋体" w:cs="宋体"/>
        </w:rPr>
        <w:t>1.2.3日用品类</w:t>
      </w:r>
    </w:p>
    <w:p>
      <w:pPr>
        <w:spacing w:line="360" w:lineRule="auto"/>
        <w:ind w:firstLine="420" w:firstLineChars="200"/>
        <w:rPr>
          <w:rFonts w:ascii="宋体" w:hAnsi="宋体" w:eastAsia="宋体" w:cs="宋体"/>
        </w:rPr>
      </w:pPr>
      <w:r>
        <w:rPr>
          <w:rFonts w:hint="eastAsia" w:ascii="宋体" w:hAnsi="宋体" w:eastAsia="宋体" w:cs="宋体"/>
        </w:rPr>
        <w:t>婴童日用品涵盖：婴童出行用品、婴童家具、婴童生理卫生用品、婴童玩具即婴童洗护用品等。其中消费者意愿最高的品类为婴童玩具，占比51.71%，其次得益于婴童用品行业的发展和消费升级，家长们越来越注意婴童护肤问题，婴童洗护用品占比44.87%，，市场潜力较大。而具体品类中，婴儿推车需求占比最大，基本为刚需产品，其次婴儿木马和婴儿床的市场占比也较大，占比分布如图22、图23所示：</w:t>
      </w:r>
    </w:p>
    <w:p>
      <w:pPr>
        <w:spacing w:line="360" w:lineRule="auto"/>
        <w:ind w:firstLine="420" w:firstLineChars="200"/>
        <w:rPr>
          <w:rFonts w:hint="default" w:ascii="宋体" w:hAnsi="宋体" w:eastAsia="宋体" w:cs="宋体"/>
          <w:lang w:val="en-US"/>
        </w:rPr>
      </w:pPr>
      <w:r>
        <w:rPr>
          <w:rFonts w:hint="eastAsia" w:ascii="宋体" w:hAnsi="宋体" w:eastAsia="宋体" w:cs="宋体"/>
        </w:rPr>
        <w:drawing>
          <wp:inline distT="0" distB="0" distL="0" distR="0">
            <wp:extent cx="2353310" cy="1823085"/>
            <wp:effectExtent l="4445" t="4445" r="19685" b="1651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rFonts w:hint="eastAsia" w:ascii="宋体" w:hAnsi="宋体" w:eastAsia="宋体" w:cs="宋体"/>
          <w:lang w:val="en-US" w:eastAsia="zh-CN"/>
        </w:rPr>
        <w:t xml:space="preserve">   </w:t>
      </w:r>
      <w:r>
        <w:rPr>
          <w:rFonts w:hint="eastAsia" w:ascii="宋体" w:hAnsi="宋体" w:eastAsia="宋体" w:cs="宋体"/>
        </w:rPr>
        <w:drawing>
          <wp:inline distT="0" distB="0" distL="0" distR="0">
            <wp:extent cx="2310130" cy="1863090"/>
            <wp:effectExtent l="4445" t="4445" r="17145" b="6985"/>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spacing w:line="360" w:lineRule="auto"/>
        <w:ind w:firstLine="849" w:firstLineChars="472"/>
        <w:rPr>
          <w:rFonts w:ascii="宋体" w:hAnsi="宋体" w:eastAsia="宋体" w:cs="宋体"/>
          <w:sz w:val="18"/>
          <w:szCs w:val="21"/>
        </w:rPr>
      </w:pPr>
      <w:r>
        <w:rPr>
          <w:rFonts w:hint="eastAsia" w:ascii="宋体" w:hAnsi="宋体" w:eastAsia="宋体" w:cs="宋体"/>
          <w:sz w:val="18"/>
          <w:szCs w:val="21"/>
        </w:rPr>
        <w:t>图22 孩子日用品需求分布图                  图23 具体品类需求分布图</w:t>
      </w:r>
    </w:p>
    <w:p>
      <w:pPr>
        <w:spacing w:line="360" w:lineRule="auto"/>
        <w:ind w:firstLine="420" w:firstLineChars="200"/>
        <w:rPr>
          <w:rFonts w:ascii="宋体" w:hAnsi="宋体" w:eastAsia="宋体" w:cs="宋体"/>
        </w:rPr>
      </w:pPr>
      <w:r>
        <w:rPr>
          <w:rFonts w:hint="eastAsia" w:ascii="宋体" w:hAnsi="宋体" w:eastAsia="宋体" w:cs="宋体"/>
        </w:rPr>
        <w:br w:type="page"/>
      </w:r>
    </w:p>
    <w:p>
      <w:pPr>
        <w:spacing w:line="360" w:lineRule="auto"/>
        <w:ind w:firstLine="420" w:firstLineChars="200"/>
        <w:rPr>
          <w:rFonts w:ascii="宋体" w:hAnsi="宋体" w:eastAsia="宋体" w:cs="宋体"/>
        </w:rPr>
      </w:pPr>
      <w:r>
        <w:rPr>
          <w:rFonts w:hint="eastAsia" w:ascii="宋体" w:hAnsi="宋体" w:eastAsia="宋体" w:cs="宋体"/>
        </w:rPr>
        <w:t>1.2.4兴趣爱好类</w:t>
      </w:r>
    </w:p>
    <w:p>
      <w:pPr>
        <w:spacing w:line="360" w:lineRule="auto"/>
        <w:ind w:firstLine="420" w:firstLineChars="200"/>
        <w:rPr>
          <w:rFonts w:ascii="宋体" w:hAnsi="宋体" w:eastAsia="宋体" w:cs="宋体"/>
        </w:rPr>
      </w:pPr>
      <w:r>
        <w:rPr>
          <w:rFonts w:hint="eastAsia" w:ascii="宋体" w:hAnsi="宋体" w:eastAsia="宋体" w:cs="宋体"/>
        </w:rPr>
        <w:t>用户在对兴趣爱好的支出上支持度很高，培训种类的偏好不明显，音乐、体育等各个种类都有一定的用户群体，调研结果如图24所示：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3090545" cy="1594485"/>
            <wp:effectExtent l="0" t="0" r="14605" b="571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图24 对孩子参加兴趣班的态度</w:t>
      </w:r>
    </w:p>
    <w:p>
      <w:pPr>
        <w:spacing w:line="360" w:lineRule="auto"/>
        <w:outlineLvl w:val="1"/>
        <w:rPr>
          <w:rFonts w:ascii="宋体" w:hAnsi="宋体" w:eastAsia="宋体" w:cs="宋体"/>
          <w:sz w:val="24"/>
        </w:rPr>
      </w:pPr>
      <w:bookmarkStart w:id="31" w:name="_Toc16503"/>
      <w:r>
        <w:rPr>
          <w:rFonts w:hint="eastAsia" w:ascii="宋体" w:hAnsi="宋体" w:eastAsia="宋体" w:cs="宋体"/>
          <w:sz w:val="24"/>
        </w:rPr>
        <w:t>2.用户分析</w:t>
      </w:r>
      <w:bookmarkEnd w:id="31"/>
    </w:p>
    <w:p>
      <w:pPr>
        <w:spacing w:line="360" w:lineRule="auto"/>
        <w:outlineLvl w:val="2"/>
        <w:rPr>
          <w:rFonts w:ascii="宋体" w:hAnsi="宋体" w:eastAsia="宋体" w:cs="宋体"/>
          <w:szCs w:val="21"/>
        </w:rPr>
      </w:pPr>
      <w:bookmarkStart w:id="32" w:name="_Toc31130"/>
      <w:r>
        <w:rPr>
          <w:rFonts w:hint="eastAsia" w:ascii="宋体" w:hAnsi="宋体" w:eastAsia="宋体" w:cs="宋体"/>
          <w:szCs w:val="21"/>
        </w:rPr>
        <w:t>2.1消费人群画像</w:t>
      </w:r>
      <w:bookmarkEnd w:id="32"/>
    </w:p>
    <w:p>
      <w:pPr>
        <w:numPr>
          <w:ilvl w:val="0"/>
          <w:numId w:val="2"/>
        </w:numPr>
        <w:spacing w:line="360" w:lineRule="auto"/>
        <w:ind w:firstLine="420" w:firstLineChars="200"/>
        <w:rPr>
          <w:rFonts w:ascii="宋体" w:hAnsi="宋体" w:eastAsia="宋体" w:cs="宋体"/>
        </w:rPr>
      </w:pPr>
      <w:r>
        <w:rPr>
          <w:rFonts w:hint="eastAsia" w:ascii="宋体" w:hAnsi="宋体" w:eastAsia="宋体" w:cs="宋体"/>
        </w:rPr>
        <w:t>性别和年龄</w:t>
      </w:r>
    </w:p>
    <w:p>
      <w:pPr>
        <w:spacing w:line="360" w:lineRule="auto"/>
        <w:ind w:firstLine="420" w:firstLineChars="200"/>
        <w:rPr>
          <w:rFonts w:ascii="宋体" w:hAnsi="宋体" w:eastAsia="宋体" w:cs="宋体"/>
        </w:rPr>
      </w:pPr>
      <w:r>
        <w:rPr>
          <w:rFonts w:hint="eastAsia" w:ascii="宋体" w:hAnsi="宋体" w:eastAsia="宋体" w:cs="宋体"/>
        </w:rPr>
        <w:t>婴童产品用户女性占绝大多数且年龄相对年轻、集中在20-34岁，分布占比如图25、图26所示：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737100" cy="1511300"/>
            <wp:effectExtent l="9525" t="9525" r="15875"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6"/>
                    <a:srcRect l="1243" t="23491"/>
                    <a:stretch>
                      <a:fillRect/>
                    </a:stretch>
                  </pic:blipFill>
                  <pic:spPr>
                    <a:xfrm>
                      <a:off x="0" y="0"/>
                      <a:ext cx="4980945" cy="1589520"/>
                    </a:xfrm>
                    <a:prstGeom prst="rect">
                      <a:avLst/>
                    </a:prstGeom>
                    <a:noFill/>
                    <a:ln>
                      <a:solidFill>
                        <a:schemeClr val="bg2"/>
                      </a:solidFill>
                    </a:ln>
                  </pic:spPr>
                </pic:pic>
              </a:graphicData>
            </a:graphic>
          </wp:inline>
        </w:drawing>
      </w:r>
    </w:p>
    <w:p>
      <w:pPr>
        <w:spacing w:line="360" w:lineRule="auto"/>
        <w:ind w:firstLine="540" w:firstLineChars="300"/>
        <w:rPr>
          <w:rFonts w:ascii="宋体" w:hAnsi="宋体" w:eastAsia="宋体" w:cs="宋体"/>
          <w:sz w:val="18"/>
          <w:szCs w:val="18"/>
        </w:rPr>
      </w:pPr>
      <w:r>
        <w:rPr>
          <w:rFonts w:hint="eastAsia" w:ascii="宋体" w:hAnsi="宋体" w:eastAsia="宋体" w:cs="宋体"/>
          <w:sz w:val="18"/>
          <w:szCs w:val="18"/>
        </w:rPr>
        <w:t>图25 婴童用户的性别和年龄分布                     图26 婴童用户的学历和职业分布</w:t>
      </w:r>
    </w:p>
    <w:p>
      <w:pPr>
        <w:numPr>
          <w:ilvl w:val="0"/>
          <w:numId w:val="3"/>
        </w:numPr>
        <w:spacing w:line="360" w:lineRule="auto"/>
        <w:ind w:firstLine="420" w:firstLineChars="200"/>
        <w:rPr>
          <w:rFonts w:ascii="宋体" w:hAnsi="宋体" w:eastAsia="宋体" w:cs="宋体"/>
        </w:rPr>
      </w:pPr>
      <w:r>
        <w:rPr>
          <w:rFonts w:hint="eastAsia" w:ascii="宋体" w:hAnsi="宋体" w:eastAsia="宋体" w:cs="宋体"/>
        </w:rPr>
        <w:t>学历和职业</w:t>
      </w:r>
    </w:p>
    <w:p>
      <w:pPr>
        <w:spacing w:line="360" w:lineRule="auto"/>
        <w:ind w:firstLine="420" w:firstLineChars="200"/>
        <w:rPr>
          <w:rFonts w:ascii="宋体" w:hAnsi="宋体" w:eastAsia="宋体" w:cs="宋体"/>
        </w:rPr>
      </w:pPr>
      <w:r>
        <w:rPr>
          <w:rFonts w:hint="eastAsia" w:ascii="宋体" w:hAnsi="宋体" w:eastAsia="宋体" w:cs="宋体"/>
        </w:rPr>
        <w:t>婴童用户中等教育程度超6成，相比整体网民学历较高，但其绝大部分选择了居家全职带娃，分布占比如图27、图28所示：</w:t>
      </w:r>
    </w:p>
    <w:p>
      <w:pPr>
        <w:spacing w:line="360" w:lineRule="auto"/>
        <w:ind w:firstLine="420" w:firstLineChars="200"/>
        <w:jc w:val="center"/>
        <w:rPr>
          <w:rFonts w:ascii="宋体" w:hAnsi="宋体" w:eastAsia="宋体" w:cs="宋体"/>
        </w:rPr>
      </w:pPr>
      <w:r>
        <w:rPr>
          <w:rFonts w:hint="eastAsia" w:ascii="宋体" w:hAnsi="宋体" w:eastAsia="宋体" w:cs="宋体"/>
        </w:rPr>
        <w:drawing>
          <wp:inline distT="0" distB="0" distL="114300" distR="114300">
            <wp:extent cx="3632200" cy="1649095"/>
            <wp:effectExtent l="12700" t="12700" r="1270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rcRect t="24599"/>
                    <a:stretch>
                      <a:fillRect/>
                    </a:stretch>
                  </pic:blipFill>
                  <pic:spPr>
                    <a:xfrm>
                      <a:off x="0" y="0"/>
                      <a:ext cx="3661415" cy="1662831"/>
                    </a:xfrm>
                    <a:prstGeom prst="rect">
                      <a:avLst/>
                    </a:prstGeom>
                    <a:noFill/>
                    <a:ln w="12700" cmpd="sng">
                      <a:solidFill>
                        <a:schemeClr val="bg2"/>
                      </a:solidFill>
                      <a:prstDash val="solid"/>
                    </a:ln>
                  </pic:spPr>
                </pic:pic>
              </a:graphicData>
            </a:graphic>
          </wp:inline>
        </w:drawing>
      </w:r>
    </w:p>
    <w:p>
      <w:pPr>
        <w:spacing w:line="360" w:lineRule="auto"/>
        <w:ind w:firstLine="1134" w:firstLineChars="630"/>
        <w:rPr>
          <w:rFonts w:ascii="宋体" w:hAnsi="宋体" w:eastAsia="宋体" w:cs="宋体"/>
          <w:sz w:val="18"/>
          <w:szCs w:val="18"/>
        </w:rPr>
      </w:pPr>
      <w:r>
        <w:rPr>
          <w:rFonts w:hint="eastAsia" w:ascii="宋体" w:hAnsi="宋体" w:eastAsia="宋体" w:cs="宋体"/>
          <w:sz w:val="18"/>
          <w:szCs w:val="18"/>
        </w:rPr>
        <w:t>图27 婴童用户的区域分布                  图28 婴童用户孩童情况</w:t>
      </w:r>
    </w:p>
    <w:p>
      <w:pPr>
        <w:numPr>
          <w:ilvl w:val="0"/>
          <w:numId w:val="4"/>
        </w:numPr>
        <w:spacing w:line="360" w:lineRule="auto"/>
        <w:ind w:firstLine="420" w:firstLineChars="200"/>
        <w:rPr>
          <w:rFonts w:ascii="宋体" w:hAnsi="宋体" w:eastAsia="宋体" w:cs="宋体"/>
        </w:rPr>
      </w:pPr>
      <w:r>
        <w:rPr>
          <w:rFonts w:hint="eastAsia" w:ascii="宋体" w:hAnsi="宋体" w:eastAsia="宋体" w:cs="宋体"/>
        </w:rPr>
        <w:t>地域差异</w:t>
      </w:r>
    </w:p>
    <w:p>
      <w:pPr>
        <w:spacing w:line="360" w:lineRule="auto"/>
        <w:ind w:firstLine="420" w:firstLineChars="200"/>
        <w:rPr>
          <w:rFonts w:ascii="宋体" w:hAnsi="宋体" w:eastAsia="宋体" w:cs="宋体"/>
        </w:rPr>
      </w:pPr>
      <w:r>
        <w:rPr>
          <w:rFonts w:hint="eastAsia" w:ascii="宋体" w:hAnsi="宋体" w:eastAsia="宋体" w:cs="宋体"/>
        </w:rPr>
        <w:t>婴童用户城镇居民超7成；居住区域上三成在华东、近两成在华中，东北地区和西北地区相对占比较少，分布占比如图29、图30所示：</w:t>
      </w:r>
    </w:p>
    <w:p>
      <w:pPr>
        <w:spacing w:line="360" w:lineRule="auto"/>
        <w:rPr>
          <w:rFonts w:ascii="宋体" w:hAnsi="宋体" w:eastAsia="宋体" w:cs="宋体"/>
        </w:rPr>
      </w:pPr>
      <w:r>
        <w:rPr>
          <w:rFonts w:hint="eastAsia" w:ascii="宋体" w:hAnsi="宋体" w:eastAsia="宋体" w:cs="宋体"/>
        </w:rPr>
        <w:drawing>
          <wp:inline distT="0" distB="0" distL="114300" distR="114300">
            <wp:extent cx="5271770" cy="1799590"/>
            <wp:effectExtent l="9525" t="9525" r="1460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rcRect t="21533"/>
                    <a:stretch>
                      <a:fillRect/>
                    </a:stretch>
                  </pic:blipFill>
                  <pic:spPr>
                    <a:xfrm>
                      <a:off x="0" y="0"/>
                      <a:ext cx="5271770" cy="1799747"/>
                    </a:xfrm>
                    <a:prstGeom prst="rect">
                      <a:avLst/>
                    </a:prstGeom>
                    <a:noFill/>
                    <a:ln>
                      <a:solidFill>
                        <a:schemeClr val="bg2"/>
                      </a:solidFill>
                    </a:ln>
                  </pic:spPr>
                </pic:pic>
              </a:graphicData>
            </a:graphic>
          </wp:inline>
        </w:drawing>
      </w:r>
    </w:p>
    <w:p>
      <w:pPr>
        <w:spacing w:line="360" w:lineRule="auto"/>
        <w:ind w:firstLine="707" w:firstLineChars="393"/>
        <w:rPr>
          <w:rFonts w:ascii="宋体" w:hAnsi="宋体" w:eastAsia="宋体" w:cs="宋体"/>
          <w:sz w:val="18"/>
          <w:szCs w:val="18"/>
        </w:rPr>
      </w:pPr>
      <w:r>
        <w:rPr>
          <w:rFonts w:hint="eastAsia" w:ascii="宋体" w:hAnsi="宋体" w:eastAsia="宋体" w:cs="宋体"/>
          <w:sz w:val="18"/>
          <w:szCs w:val="18"/>
        </w:rPr>
        <w:t>图29 婴童用户的居住区域分布                         图30 婴童用户的城乡分布</w:t>
      </w:r>
    </w:p>
    <w:p>
      <w:pPr>
        <w:numPr>
          <w:ilvl w:val="0"/>
          <w:numId w:val="5"/>
        </w:numPr>
        <w:spacing w:line="360" w:lineRule="auto"/>
        <w:ind w:firstLine="420" w:firstLineChars="200"/>
        <w:rPr>
          <w:rFonts w:ascii="宋体" w:hAnsi="宋体" w:eastAsia="宋体" w:cs="宋体"/>
        </w:rPr>
      </w:pPr>
      <w:r>
        <w:rPr>
          <w:rFonts w:hint="eastAsia" w:ascii="宋体" w:hAnsi="宋体" w:eastAsia="宋体" w:cs="宋体"/>
        </w:rPr>
        <w:t>婴童情况</w:t>
      </w:r>
    </w:p>
    <w:p>
      <w:pPr>
        <w:spacing w:line="360" w:lineRule="auto"/>
        <w:ind w:firstLine="420" w:firstLineChars="200"/>
        <w:rPr>
          <w:rFonts w:ascii="宋体" w:hAnsi="宋体" w:eastAsia="宋体" w:cs="宋体"/>
        </w:rPr>
      </w:pPr>
      <w:r>
        <w:rPr>
          <w:rFonts w:hint="eastAsia" w:ascii="宋体" w:hAnsi="宋体" w:eastAsia="宋体" w:cs="宋体"/>
        </w:rPr>
        <w:t>用户中生育一胎为主，二胎或多胎用户有所增长，近7成孩子处于孕育核心阶段（孕中期到孩子3岁），以小家庭自己照顾孩子为主，分布数据如图31、图32及图33所示：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980940" cy="1759585"/>
            <wp:effectExtent l="9525" t="9525"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9"/>
                    <a:srcRect t="17335" r="5460" b="563"/>
                    <a:stretch>
                      <a:fillRect/>
                    </a:stretch>
                  </pic:blipFill>
                  <pic:spPr>
                    <a:xfrm>
                      <a:off x="0" y="0"/>
                      <a:ext cx="4980940" cy="1759585"/>
                    </a:xfrm>
                    <a:prstGeom prst="rect">
                      <a:avLst/>
                    </a:prstGeom>
                    <a:noFill/>
                    <a:ln>
                      <a:solidFill>
                        <a:schemeClr val="bg2"/>
                      </a:solidFill>
                    </a:ln>
                  </pic:spPr>
                </pic:pic>
              </a:graphicData>
            </a:graphic>
          </wp:inline>
        </w:drawing>
      </w:r>
    </w:p>
    <w:p>
      <w:pPr>
        <w:spacing w:line="360" w:lineRule="auto"/>
        <w:ind w:firstLine="300" w:firstLineChars="200"/>
        <w:rPr>
          <w:rFonts w:ascii="宋体" w:hAnsi="宋体" w:eastAsia="宋体" w:cs="宋体"/>
          <w:sz w:val="15"/>
          <w:szCs w:val="15"/>
        </w:rPr>
      </w:pPr>
      <w:r>
        <w:rPr>
          <w:rFonts w:hint="eastAsia" w:ascii="宋体" w:hAnsi="宋体" w:eastAsia="宋体" w:cs="宋体"/>
          <w:sz w:val="15"/>
          <w:szCs w:val="15"/>
        </w:rPr>
        <w:t>图31 婴童用户生育情况分布（%）      图32 婴童家庭孩子年龄分布（%）      图33 婴童家庭孩子的主要照顾者分布</w:t>
      </w:r>
    </w:p>
    <w:p>
      <w:pPr>
        <w:spacing w:line="360" w:lineRule="auto"/>
        <w:outlineLvl w:val="2"/>
        <w:rPr>
          <w:rFonts w:ascii="宋体" w:hAnsi="宋体" w:eastAsia="宋体" w:cs="宋体"/>
          <w:szCs w:val="21"/>
        </w:rPr>
      </w:pPr>
      <w:r>
        <w:rPr>
          <w:rFonts w:ascii="宋体" w:hAnsi="宋体" w:eastAsia="宋体" w:cs="宋体"/>
          <w:szCs w:val="21"/>
        </w:rPr>
        <w:br w:type="page"/>
      </w:r>
    </w:p>
    <w:p>
      <w:pPr>
        <w:spacing w:line="360" w:lineRule="auto"/>
        <w:outlineLvl w:val="2"/>
        <w:rPr>
          <w:rFonts w:ascii="宋体" w:hAnsi="宋体" w:eastAsia="宋体" w:cs="宋体"/>
          <w:szCs w:val="21"/>
        </w:rPr>
      </w:pPr>
      <w:bookmarkStart w:id="33" w:name="_Toc25626"/>
      <w:r>
        <w:rPr>
          <w:rFonts w:hint="eastAsia" w:ascii="宋体" w:hAnsi="宋体" w:eastAsia="宋体" w:cs="宋体"/>
          <w:szCs w:val="21"/>
        </w:rPr>
        <w:t>2.2生活消费态度</w:t>
      </w:r>
      <w:bookmarkEnd w:id="33"/>
    </w:p>
    <w:p>
      <w:pPr>
        <w:numPr>
          <w:ilvl w:val="0"/>
          <w:numId w:val="6"/>
        </w:numPr>
        <w:spacing w:line="360" w:lineRule="auto"/>
        <w:ind w:firstLine="420" w:firstLineChars="200"/>
        <w:rPr>
          <w:rFonts w:ascii="宋体" w:hAnsi="宋体" w:eastAsia="宋体" w:cs="宋体"/>
        </w:rPr>
      </w:pPr>
      <w:r>
        <w:rPr>
          <w:rFonts w:hint="eastAsia" w:ascii="宋体" w:hAnsi="宋体" w:eastAsia="宋体" w:cs="宋体"/>
        </w:rPr>
        <w:t>新生代宝爸宝妈，更倾向自己带娃</w:t>
      </w:r>
    </w:p>
    <w:p>
      <w:pPr>
        <w:spacing w:line="360" w:lineRule="auto"/>
        <w:ind w:firstLine="420" w:firstLineChars="200"/>
        <w:rPr>
          <w:rFonts w:ascii="宋体" w:hAnsi="宋体" w:eastAsia="宋体" w:cs="宋体"/>
        </w:rPr>
      </w:pPr>
      <w:r>
        <w:rPr>
          <w:rFonts w:hint="eastAsia" w:ascii="宋体" w:hAnsi="宋体" w:eastAsia="宋体" w:cs="宋体"/>
        </w:rPr>
        <w:t>初入职场，38.2%职业为企业普通员工，选择做全职妈妈的95后TGI为170.5。月收入在1万元以下人群占比为76.4%，TGI为117.9。较早步入社会，本科以下学历人群占比为22.6%，TGI=179.9。</w:t>
      </w:r>
    </w:p>
    <w:p>
      <w:pPr>
        <w:spacing w:line="360" w:lineRule="auto"/>
        <w:ind w:firstLine="420" w:firstLineChars="200"/>
        <w:rPr>
          <w:rFonts w:ascii="宋体" w:hAnsi="宋体" w:eastAsia="宋体" w:cs="宋体"/>
        </w:rPr>
      </w:pPr>
      <w:r>
        <w:rPr>
          <w:rFonts w:hint="eastAsia" w:ascii="宋体" w:hAnsi="宋体" w:eastAsia="宋体" w:cs="宋体"/>
        </w:rPr>
        <w:t>（2）婴童花费占家庭支出比例较高</w:t>
      </w:r>
    </w:p>
    <w:p>
      <w:pPr>
        <w:spacing w:line="360" w:lineRule="auto"/>
        <w:ind w:firstLine="420" w:firstLineChars="200"/>
        <w:rPr>
          <w:rFonts w:ascii="宋体" w:hAnsi="宋体" w:eastAsia="宋体" w:cs="宋体"/>
        </w:rPr>
      </w:pPr>
      <w:r>
        <w:rPr>
          <w:rFonts w:hint="eastAsia" w:ascii="宋体" w:hAnsi="宋体" w:eastAsia="宋体" w:cs="宋体"/>
        </w:rPr>
        <w:t>45.5%的95后习惯在线上平台购物，同时44.7%的95后喜欢在线下门店/专卖店购物，TGI为143.5。婴童花费占95后家庭支出比重较高，54.5%的95后月均婴童花费占家庭支出的比重超过20%，TGI=107.2。</w:t>
      </w:r>
    </w:p>
    <w:p>
      <w:pPr>
        <w:spacing w:line="360" w:lineRule="auto"/>
        <w:ind w:firstLine="420" w:firstLineChars="200"/>
        <w:rPr>
          <w:rFonts w:ascii="宋体" w:hAnsi="宋体" w:eastAsia="宋体" w:cs="宋体"/>
        </w:rPr>
      </w:pPr>
      <w:r>
        <w:rPr>
          <w:rFonts w:hint="eastAsia" w:ascii="宋体" w:hAnsi="宋体" w:eastAsia="宋体" w:cs="宋体"/>
        </w:rPr>
        <w:t>（3）喜欢尝试新鲜事物，爱囤货，购物时看重商品的价格和口碑</w:t>
      </w:r>
    </w:p>
    <w:p>
      <w:pPr>
        <w:spacing w:line="360" w:lineRule="auto"/>
        <w:ind w:firstLine="420" w:firstLineChars="200"/>
        <w:rPr>
          <w:rFonts w:ascii="宋体" w:hAnsi="宋体" w:eastAsia="宋体" w:cs="宋体"/>
        </w:rPr>
      </w:pPr>
      <w:r>
        <w:rPr>
          <w:rFonts w:hint="eastAsia" w:ascii="宋体" w:hAnsi="宋体" w:eastAsia="宋体" w:cs="宋体"/>
        </w:rPr>
        <w:t>28.5%的95后表示有兴趣尝试购买新兴/小众品牌，TGI为108.2。、36.6%的95后会在大促折扣力度大时大量购买商品来囤货，TGI为125.7。价格和口碑是影响95后购买婴童商品很重要的影响因素。</w:t>
      </w:r>
    </w:p>
    <w:p>
      <w:pPr>
        <w:numPr>
          <w:ilvl w:val="0"/>
          <w:numId w:val="7"/>
        </w:numPr>
        <w:spacing w:line="360" w:lineRule="auto"/>
        <w:ind w:firstLine="420" w:firstLineChars="200"/>
        <w:rPr>
          <w:rFonts w:ascii="宋体" w:hAnsi="宋体" w:eastAsia="宋体" w:cs="宋体"/>
        </w:rPr>
      </w:pPr>
      <w:r>
        <w:rPr>
          <w:rFonts w:hint="eastAsia" w:ascii="宋体" w:hAnsi="宋体" w:eastAsia="宋体" w:cs="宋体"/>
        </w:rPr>
        <w:t>崇尚科学养娃，尊重孩子的想法</w:t>
      </w:r>
    </w:p>
    <w:p>
      <w:pPr>
        <w:spacing w:line="360" w:lineRule="auto"/>
        <w:ind w:firstLine="420" w:firstLineChars="200"/>
        <w:rPr>
          <w:rFonts w:ascii="宋体" w:hAnsi="宋体" w:eastAsia="宋体" w:cs="宋体"/>
        </w:rPr>
      </w:pPr>
      <w:r>
        <w:rPr>
          <w:rFonts w:hint="eastAsia" w:ascii="宋体" w:hAnsi="宋体" w:eastAsia="宋体" w:cs="宋体"/>
        </w:rPr>
        <w:t>34.1%的95后表示会参照育儿专家和书籍，通过科学的方法带宝宝。37.4%的95后宝爸宝妈认为当孩子有明确的自我意识时，会倾听和尊重孩子的想法。</w:t>
      </w:r>
    </w:p>
    <w:p>
      <w:pPr>
        <w:spacing w:line="360" w:lineRule="auto"/>
        <w:ind w:firstLine="420" w:firstLineChars="200"/>
        <w:rPr>
          <w:rFonts w:ascii="宋体" w:hAnsi="宋体" w:eastAsia="宋体" w:cs="宋体"/>
        </w:rPr>
      </w:pPr>
      <w:r>
        <w:rPr>
          <w:rFonts w:hint="eastAsia" w:ascii="宋体" w:hAnsi="宋体" w:eastAsia="宋体" w:cs="宋体"/>
        </w:rPr>
        <w:t>生活消费态度调研结果如图34：</w:t>
      </w:r>
    </w:p>
    <w:p>
      <w:pPr>
        <w:spacing w:line="360" w:lineRule="auto"/>
        <w:rPr>
          <w:rFonts w:ascii="宋体" w:hAnsi="宋体" w:eastAsia="宋体" w:cs="宋体"/>
        </w:rPr>
      </w:pPr>
      <w:r>
        <w:rPr>
          <w:rFonts w:hint="eastAsia" w:ascii="宋体" w:hAnsi="宋体" w:eastAsia="宋体" w:cs="宋体"/>
        </w:rPr>
        <w:drawing>
          <wp:inline distT="0" distB="0" distL="0" distR="0">
            <wp:extent cx="5274310" cy="22091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4310" cy="2209165"/>
                    </a:xfrm>
                    <a:prstGeom prst="rect">
                      <a:avLst/>
                    </a:prstGeom>
                    <a:noFill/>
                    <a:ln>
                      <a:noFill/>
                    </a:ln>
                  </pic:spPr>
                </pic:pic>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图34 生活消费态度</w:t>
      </w:r>
    </w:p>
    <w:p>
      <w:pPr>
        <w:spacing w:line="360" w:lineRule="auto"/>
        <w:outlineLvl w:val="1"/>
        <w:rPr>
          <w:rFonts w:ascii="宋体" w:hAnsi="宋体" w:eastAsia="宋体" w:cs="宋体"/>
          <w:sz w:val="24"/>
        </w:rPr>
      </w:pPr>
      <w:r>
        <w:rPr>
          <w:rFonts w:ascii="宋体" w:hAnsi="宋体" w:eastAsia="宋体" w:cs="宋体"/>
          <w:sz w:val="24"/>
        </w:rPr>
        <w:br w:type="page"/>
      </w:r>
    </w:p>
    <w:p>
      <w:pPr>
        <w:spacing w:line="360" w:lineRule="auto"/>
        <w:outlineLvl w:val="1"/>
        <w:rPr>
          <w:rFonts w:ascii="宋体" w:hAnsi="宋体" w:eastAsia="宋体" w:cs="宋体"/>
          <w:sz w:val="24"/>
        </w:rPr>
      </w:pPr>
      <w:bookmarkStart w:id="34" w:name="_Toc16786"/>
      <w:r>
        <w:rPr>
          <w:rFonts w:hint="eastAsia" w:ascii="宋体" w:hAnsi="宋体" w:eastAsia="宋体" w:cs="宋体"/>
          <w:sz w:val="24"/>
        </w:rPr>
        <w:t>3.婴童人群购物种草行为</w:t>
      </w:r>
      <w:bookmarkEnd w:id="34"/>
    </w:p>
    <w:p>
      <w:pPr>
        <w:spacing w:line="360" w:lineRule="auto"/>
        <w:outlineLvl w:val="2"/>
        <w:rPr>
          <w:rFonts w:ascii="宋体" w:hAnsi="宋体" w:eastAsia="宋体" w:cs="宋体"/>
          <w:szCs w:val="21"/>
        </w:rPr>
      </w:pPr>
      <w:bookmarkStart w:id="35" w:name="_Toc30257"/>
      <w:r>
        <w:rPr>
          <w:rFonts w:hint="eastAsia" w:ascii="宋体" w:hAnsi="宋体" w:eastAsia="宋体" w:cs="宋体"/>
          <w:szCs w:val="21"/>
        </w:rPr>
        <w:t>3.1婴童人群购物习惯及趋势</w:t>
      </w:r>
      <w:bookmarkEnd w:id="35"/>
    </w:p>
    <w:p>
      <w:pPr>
        <w:spacing w:line="360" w:lineRule="auto"/>
        <w:ind w:firstLine="420" w:firstLineChars="200"/>
        <w:rPr>
          <w:rFonts w:ascii="宋体" w:hAnsi="宋体" w:eastAsia="宋体" w:cs="宋体"/>
        </w:rPr>
      </w:pPr>
      <w:r>
        <w:rPr>
          <w:rFonts w:hint="eastAsia" w:ascii="宋体" w:hAnsi="宋体" w:eastAsia="宋体" w:cs="宋体"/>
        </w:rPr>
        <w:t>食品类为婴童家庭线上和线下渠道主要购买的品类：婴童家庭消费支出以婴童类日常刚需产品为主，未来也注重早期发展及亲自服务，品类占比如图35所示：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3206750" cy="1492250"/>
            <wp:effectExtent l="4445" t="4445" r="8255" b="825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图三十五 经常购买的婴童产品品类</w:t>
      </w:r>
    </w:p>
    <w:p>
      <w:pPr>
        <w:spacing w:line="360" w:lineRule="auto"/>
        <w:ind w:firstLine="420" w:firstLineChars="200"/>
        <w:rPr>
          <w:rFonts w:ascii="宋体" w:hAnsi="宋体" w:eastAsia="宋体" w:cs="宋体"/>
        </w:rPr>
      </w:pPr>
      <w:r>
        <w:rPr>
          <w:rFonts w:hint="eastAsia" w:ascii="宋体" w:hAnsi="宋体" w:eastAsia="宋体" w:cs="宋体"/>
        </w:rPr>
        <w:t>线下婴童店、线上综合电商仍为最主要的购物渠道：随着互联网发展普及，综合电商平台是最优先选择的渠道，同时，婴童人群仍注重实体购物体验，婴童用品实体店，超市的渗透率也较高，具体分布如图36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159250" cy="2039620"/>
            <wp:effectExtent l="4445" t="4445" r="8255" b="13335"/>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图36 购买婴童产品的渠道</w:t>
      </w:r>
    </w:p>
    <w:p>
      <w:pPr>
        <w:spacing w:line="360" w:lineRule="auto"/>
        <w:outlineLvl w:val="2"/>
        <w:rPr>
          <w:rFonts w:ascii="宋体" w:hAnsi="宋体" w:eastAsia="宋体" w:cs="宋体"/>
          <w:szCs w:val="21"/>
        </w:rPr>
      </w:pPr>
      <w:bookmarkStart w:id="36" w:name="_Toc17774"/>
      <w:r>
        <w:rPr>
          <w:rFonts w:hint="eastAsia" w:ascii="宋体" w:hAnsi="宋体" w:eastAsia="宋体" w:cs="宋体"/>
          <w:szCs w:val="21"/>
        </w:rPr>
        <w:t>3.2种草渠道偏好</w:t>
      </w:r>
      <w:bookmarkEnd w:id="36"/>
    </w:p>
    <w:p>
      <w:pPr>
        <w:spacing w:line="360" w:lineRule="auto"/>
        <w:ind w:firstLine="420" w:firstLineChars="200"/>
        <w:rPr>
          <w:rFonts w:ascii="宋体" w:hAnsi="宋体" w:eastAsia="宋体" w:cs="宋体"/>
        </w:rPr>
      </w:pPr>
      <w:r>
        <w:rPr>
          <w:rFonts w:hint="eastAsia" w:ascii="宋体" w:hAnsi="宋体" w:eastAsia="宋体" w:cs="宋体"/>
        </w:rPr>
        <w:t>抖音、小红书等博主推荐种草对婴童家庭在全渠道的消费有重要的参考价值：KOL是新媒体崛起后的产物，发挥了社交媒体在覆盖面和影响力方面的优势，不论在线上还是线下，抖音、小红书等博主推荐种草都是首要购物种草渠道，具体如图37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986020" cy="2363470"/>
            <wp:effectExtent l="4445" t="4445" r="10160" b="13335"/>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图37 了解婴童产品的渠道</w:t>
      </w:r>
    </w:p>
    <w:p>
      <w:pPr>
        <w:spacing w:line="360" w:lineRule="auto"/>
        <w:outlineLvl w:val="2"/>
        <w:rPr>
          <w:rFonts w:ascii="宋体" w:hAnsi="宋体" w:eastAsia="宋体" w:cs="宋体"/>
          <w:szCs w:val="21"/>
        </w:rPr>
      </w:pPr>
      <w:bookmarkStart w:id="37" w:name="_Toc21464"/>
      <w:r>
        <w:rPr>
          <w:rFonts w:hint="eastAsia" w:ascii="宋体" w:hAnsi="宋体" w:eastAsia="宋体" w:cs="宋体"/>
          <w:szCs w:val="21"/>
        </w:rPr>
        <w:t>3.3偏好品类及形式</w:t>
      </w:r>
      <w:bookmarkEnd w:id="37"/>
    </w:p>
    <w:p>
      <w:pPr>
        <w:spacing w:line="360" w:lineRule="auto"/>
        <w:ind w:firstLine="420" w:firstLineChars="200"/>
        <w:rPr>
          <w:rFonts w:ascii="宋体" w:hAnsi="宋体" w:eastAsia="宋体" w:cs="宋体"/>
        </w:rPr>
      </w:pPr>
      <w:r>
        <w:rPr>
          <w:rFonts w:hint="eastAsia" w:ascii="宋体" w:hAnsi="宋体" w:eastAsia="宋体" w:cs="宋体"/>
        </w:rPr>
        <w:t>推广活动、话题和投放光的平台成为吸引婴童人群种草购买的主要因素：作为起步的新锐品牌，抖音、小红书为主要广告投放宣传阵地，消费者看重种草商品的专业性，精准性及高质量，占比如图38所示：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210050" cy="1828800"/>
            <wp:effectExtent l="9525" t="9525"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4"/>
                    <a:stretch>
                      <a:fillRect/>
                    </a:stretch>
                  </pic:blipFill>
                  <pic:spPr>
                    <a:xfrm>
                      <a:off x="0" y="0"/>
                      <a:ext cx="4224906" cy="1835235"/>
                    </a:xfrm>
                    <a:prstGeom prst="rect">
                      <a:avLst/>
                    </a:prstGeom>
                    <a:noFill/>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图38 婴童产品广告吸引婴童人群的主要因素</w:t>
      </w:r>
    </w:p>
    <w:p>
      <w:pPr>
        <w:spacing w:line="360" w:lineRule="auto"/>
        <w:ind w:firstLine="420" w:firstLineChars="200"/>
        <w:rPr>
          <w:rFonts w:ascii="宋体" w:hAnsi="宋体" w:eastAsia="宋体" w:cs="宋体"/>
        </w:rPr>
      </w:pPr>
      <w:r>
        <w:rPr>
          <w:rFonts w:hint="eastAsia" w:ascii="宋体" w:hAnsi="宋体" w:eastAsia="宋体" w:cs="宋体"/>
        </w:rPr>
        <w:t>抖音、小红书等相关种草渠道最有效率的消费推荐品类是奶粉、果泥等婴童食品：此类婴童产品对婴童体验多样性有要求，需要体验分享，词云图如图39所示：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2689225" cy="1550670"/>
            <wp:effectExtent l="9525" t="9525" r="15875" b="1143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5"/>
                    <a:stretch>
                      <a:fillRect/>
                    </a:stretch>
                  </pic:blipFill>
                  <pic:spPr>
                    <a:xfrm>
                      <a:off x="0" y="0"/>
                      <a:ext cx="2696508" cy="1555077"/>
                    </a:xfrm>
                    <a:prstGeom prst="rect">
                      <a:avLst/>
                    </a:prstGeom>
                    <a:noFill/>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图39 相关种草渠道关于婴童产品的热点</w:t>
      </w:r>
    </w:p>
    <w:p>
      <w:pPr>
        <w:spacing w:line="360" w:lineRule="auto"/>
        <w:ind w:firstLine="420" w:firstLineChars="200"/>
        <w:rPr>
          <w:rFonts w:ascii="宋体" w:hAnsi="宋体" w:eastAsia="宋体" w:cs="宋体"/>
        </w:rPr>
      </w:pPr>
      <w:r>
        <w:rPr>
          <w:rFonts w:hint="eastAsia" w:ascii="宋体" w:hAnsi="宋体" w:eastAsia="宋体" w:cs="宋体"/>
        </w:rPr>
        <w:t>抖音、小红书等相关种草渠道种草形式偏好：在种草推荐的形式上，符合需求的精准推送，用户口碑分享以及专业人士推荐最能说服婴童群体进行商品购买；</w:t>
      </w:r>
    </w:p>
    <w:p>
      <w:pPr>
        <w:spacing w:line="360" w:lineRule="auto"/>
        <w:ind w:firstLine="420"/>
        <w:rPr>
          <w:rFonts w:ascii="宋体" w:hAnsi="宋体" w:eastAsia="宋体" w:cs="宋体"/>
        </w:rPr>
      </w:pPr>
      <w:r>
        <w:rPr>
          <w:rFonts w:hint="eastAsia" w:ascii="宋体" w:hAnsi="宋体" w:eastAsia="宋体" w:cs="宋体"/>
        </w:rPr>
        <w:t>购买促销偏好形式：更容易在满减和优惠券两种促销形式下购买婴童产品，特别是用量大、购买频次高的婴童商品，婴童人群经常在折扣力度大的时候囤货，如图40所示：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730115" cy="2267585"/>
            <wp:effectExtent l="4445" t="5080" r="15240" b="13335"/>
            <wp:docPr id="60"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color w:val="262626"/>
          <w:sz w:val="18"/>
          <w:szCs w:val="18"/>
          <w:shd w:val="clear" w:color="auto" w:fill="FFFFFF"/>
        </w:rPr>
        <w:t>图40 婴童人群比较倾向的关于婴童产品的促销方式</w:t>
      </w:r>
    </w:p>
    <w:p>
      <w:pPr>
        <w:spacing w:line="360" w:lineRule="auto"/>
        <w:outlineLvl w:val="1"/>
        <w:rPr>
          <w:rFonts w:ascii="宋体" w:hAnsi="宋体" w:eastAsia="宋体" w:cs="宋体"/>
          <w:sz w:val="24"/>
        </w:rPr>
      </w:pPr>
      <w:bookmarkStart w:id="38" w:name="_Toc10726"/>
      <w:r>
        <w:rPr>
          <w:rFonts w:hint="eastAsia" w:ascii="宋体" w:hAnsi="宋体" w:eastAsia="宋体" w:cs="宋体"/>
          <w:sz w:val="24"/>
        </w:rPr>
        <w:t>4.婴童市场未来发展趋势分析</w:t>
      </w:r>
      <w:bookmarkEnd w:id="38"/>
    </w:p>
    <w:p>
      <w:pPr>
        <w:spacing w:line="360" w:lineRule="auto"/>
        <w:outlineLvl w:val="2"/>
        <w:rPr>
          <w:rFonts w:ascii="宋体" w:hAnsi="宋体" w:eastAsia="宋体" w:cs="宋体"/>
          <w:szCs w:val="21"/>
        </w:rPr>
      </w:pPr>
      <w:bookmarkStart w:id="39" w:name="_Toc714"/>
      <w:r>
        <w:rPr>
          <w:rFonts w:hint="eastAsia" w:ascii="宋体" w:hAnsi="宋体" w:eastAsia="宋体" w:cs="宋体"/>
          <w:szCs w:val="21"/>
        </w:rPr>
        <w:t>4.1母婴快消品类销售渠道呈线上化趋势</w:t>
      </w:r>
      <w:bookmarkEnd w:id="39"/>
    </w:p>
    <w:p>
      <w:pPr>
        <w:spacing w:line="360" w:lineRule="auto"/>
        <w:ind w:firstLine="420" w:firstLineChars="200"/>
        <w:rPr>
          <w:rFonts w:ascii="宋体" w:hAnsi="宋体" w:eastAsia="宋体" w:cs="宋体"/>
        </w:rPr>
      </w:pPr>
      <w:r>
        <w:rPr>
          <w:rFonts w:hint="eastAsia" w:ascii="宋体" w:hAnsi="宋体" w:eastAsia="宋体" w:cs="宋体"/>
        </w:rPr>
        <w:t>婴童产品线上渠道增速放缓，但仍呈上升趋势：线上销售额增长前三品类分别为婴儿护肤、吸奶器、婴儿奶粉。其中，作为婴童食品的奶粉品类在线上渠道基数低、增速快、有较强潜力，如图41所示：</w:t>
      </w:r>
    </w:p>
    <w:p>
      <w:pPr>
        <w:rPr>
          <w:rFonts w:ascii="宋体" w:hAnsi="宋体" w:eastAsia="宋体" w:cs="宋体"/>
        </w:rPr>
      </w:pPr>
      <w:r>
        <w:rPr>
          <w:rFonts w:hint="eastAsia" w:ascii="宋体" w:hAnsi="宋体" w:eastAsia="宋体" w:cs="宋体"/>
        </w:rPr>
        <w:drawing>
          <wp:inline distT="0" distB="0" distL="114300" distR="114300">
            <wp:extent cx="5207000" cy="2049780"/>
            <wp:effectExtent l="9525" t="9525" r="12700" b="171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rcRect r="1217" b="1825"/>
                    <a:stretch>
                      <a:fillRect/>
                    </a:stretch>
                  </pic:blipFill>
                  <pic:spPr>
                    <a:xfrm>
                      <a:off x="0" y="0"/>
                      <a:ext cx="5207000" cy="2049780"/>
                    </a:xfrm>
                    <a:prstGeom prst="rect">
                      <a:avLst/>
                    </a:prstGeom>
                    <a:noFill/>
                    <a:ln>
                      <a:solidFill>
                        <a:schemeClr val="bg2"/>
                      </a:solidFill>
                    </a:ln>
                  </pic:spPr>
                </pic:pic>
              </a:graphicData>
            </a:graphic>
          </wp:inline>
        </w:drawing>
      </w:r>
    </w:p>
    <w:p>
      <w:pPr>
        <w:jc w:val="center"/>
        <w:rPr>
          <w:rFonts w:ascii="宋体" w:hAnsi="宋体" w:eastAsia="宋体" w:cs="宋体"/>
          <w:sz w:val="18"/>
          <w:szCs w:val="18"/>
        </w:rPr>
      </w:pPr>
      <w:r>
        <w:rPr>
          <w:rFonts w:hint="eastAsia" w:ascii="宋体" w:hAnsi="宋体" w:eastAsia="宋体" w:cs="宋体"/>
          <w:sz w:val="18"/>
          <w:szCs w:val="18"/>
        </w:rPr>
        <w:t>图41 婴童产品线上销售额占比和同比增速（2021.6-2022.6）</w:t>
      </w:r>
    </w:p>
    <w:p>
      <w:pPr>
        <w:spacing w:line="360" w:lineRule="auto"/>
        <w:outlineLvl w:val="2"/>
        <w:rPr>
          <w:rFonts w:ascii="宋体" w:hAnsi="宋体" w:eastAsia="宋体" w:cs="宋体"/>
          <w:szCs w:val="21"/>
        </w:rPr>
      </w:pPr>
      <w:bookmarkStart w:id="40" w:name="_Toc2594"/>
      <w:r>
        <w:rPr>
          <w:rFonts w:hint="eastAsia" w:ascii="宋体" w:hAnsi="宋体" w:eastAsia="宋体" w:cs="宋体"/>
          <w:szCs w:val="21"/>
        </w:rPr>
        <w:t>4.2母婴重点品类本土化趋势显著</w:t>
      </w:r>
      <w:bookmarkEnd w:id="40"/>
    </w:p>
    <w:p>
      <w:pPr>
        <w:spacing w:line="360" w:lineRule="auto"/>
        <w:ind w:firstLine="420" w:firstLineChars="200"/>
        <w:rPr>
          <w:rFonts w:ascii="宋体" w:hAnsi="宋体" w:eastAsia="宋体" w:cs="宋体"/>
        </w:rPr>
      </w:pPr>
      <w:r>
        <w:rPr>
          <w:rFonts w:hint="eastAsia" w:ascii="宋体" w:hAnsi="宋体" w:eastAsia="宋体" w:cs="宋体"/>
        </w:rPr>
        <w:t>国货突围，叠加新技术、新人群、新渠道带来的新消费浪潮，国产品牌竞争力上升，市场份额持续扩大，品牌指数具体如图42所示：</w:t>
      </w:r>
    </w:p>
    <w:p>
      <w:pPr>
        <w:spacing w:line="360" w:lineRule="auto"/>
        <w:ind w:firstLine="420" w:firstLineChars="200"/>
        <w:jc w:val="center"/>
        <w:rPr>
          <w:rFonts w:ascii="宋体" w:hAnsi="宋体" w:eastAsia="宋体" w:cs="宋体"/>
          <w:sz w:val="24"/>
        </w:rPr>
      </w:pPr>
      <w:r>
        <w:rPr>
          <w:rFonts w:hint="eastAsia" w:ascii="宋体" w:hAnsi="宋体" w:eastAsia="宋体" w:cs="宋体"/>
        </w:rPr>
        <w:drawing>
          <wp:inline distT="0" distB="0" distL="114300" distR="114300">
            <wp:extent cx="3738245" cy="2338070"/>
            <wp:effectExtent l="0" t="0" r="14605" b="508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ind w:firstLine="360" w:firstLineChars="200"/>
        <w:jc w:val="center"/>
        <w:rPr>
          <w:rFonts w:ascii="宋体" w:hAnsi="宋体" w:eastAsia="宋体" w:cs="宋体"/>
          <w:sz w:val="18"/>
          <w:szCs w:val="18"/>
        </w:rPr>
      </w:pPr>
      <w:r>
        <w:rPr>
          <w:rFonts w:hint="eastAsia" w:ascii="宋体" w:hAnsi="宋体" w:eastAsia="宋体" w:cs="宋体"/>
          <w:sz w:val="18"/>
          <w:szCs w:val="18"/>
        </w:rPr>
        <w:t>图42 国产母婴品牌的品牌指数排行榜</w:t>
      </w:r>
    </w:p>
    <w:p>
      <w:pPr>
        <w:spacing w:line="360" w:lineRule="auto"/>
        <w:outlineLvl w:val="2"/>
        <w:rPr>
          <w:rFonts w:ascii="宋体" w:hAnsi="宋体" w:eastAsia="宋体" w:cs="宋体"/>
          <w:sz w:val="24"/>
        </w:rPr>
      </w:pPr>
      <w:bookmarkStart w:id="41" w:name="_Toc5249"/>
      <w:r>
        <w:rPr>
          <w:rFonts w:hint="eastAsia" w:ascii="宋体" w:hAnsi="宋体" w:eastAsia="宋体" w:cs="宋体"/>
          <w:szCs w:val="21"/>
        </w:rPr>
        <w:t>4.3婴童产品价格有中端化趋势</w:t>
      </w:r>
      <w:bookmarkEnd w:id="41"/>
    </w:p>
    <w:p>
      <w:pPr>
        <w:spacing w:line="360" w:lineRule="auto"/>
        <w:ind w:firstLine="420" w:firstLineChars="200"/>
        <w:rPr>
          <w:rFonts w:ascii="宋体" w:hAnsi="宋体" w:eastAsia="宋体" w:cs="宋体"/>
          <w:szCs w:val="21"/>
        </w:rPr>
      </w:pPr>
      <w:r>
        <w:rPr>
          <w:rFonts w:hint="eastAsia" w:ascii="宋体" w:hAnsi="宋体" w:eastAsia="宋体" w:cs="宋体"/>
          <w:szCs w:val="21"/>
        </w:rPr>
        <w:t>奶粉及香皂/浴液中端价格范围产品销量显著提升；尿裤中低端价格产品销售占比持续扩大；护肤低端价格产品增速凸显，具体数据如图43所示：</w:t>
      </w:r>
    </w:p>
    <w:p>
      <w:pPr>
        <w:spacing w:line="360" w:lineRule="auto"/>
        <w:jc w:val="center"/>
        <w:rPr>
          <w:rFonts w:ascii="宋体" w:hAnsi="宋体" w:eastAsia="宋体" w:cs="宋体"/>
          <w:sz w:val="24"/>
        </w:rPr>
      </w:pPr>
      <w:r>
        <w:rPr>
          <w:rFonts w:hint="eastAsia" w:ascii="宋体" w:hAnsi="宋体" w:eastAsia="宋体" w:cs="宋体"/>
          <w:sz w:val="24"/>
        </w:rPr>
        <w:drawing>
          <wp:inline distT="0" distB="0" distL="0" distR="0">
            <wp:extent cx="5274310" cy="2144395"/>
            <wp:effectExtent l="9525" t="9525" r="12065"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4310" cy="2144395"/>
                    </a:xfrm>
                    <a:prstGeom prst="rect">
                      <a:avLst/>
                    </a:prstGeom>
                    <a:noFill/>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图43 婴童产品价格范围分布</w:t>
      </w:r>
    </w:p>
    <w:p>
      <w:pPr>
        <w:spacing w:line="360" w:lineRule="auto"/>
        <w:outlineLvl w:val="2"/>
        <w:rPr>
          <w:rFonts w:ascii="宋体" w:hAnsi="宋体" w:eastAsia="宋体" w:cs="宋体"/>
          <w:szCs w:val="21"/>
        </w:rPr>
      </w:pPr>
      <w:bookmarkStart w:id="42" w:name="_Toc20702"/>
      <w:r>
        <w:rPr>
          <w:rFonts w:hint="eastAsia" w:ascii="宋体" w:hAnsi="宋体" w:eastAsia="宋体" w:cs="宋体"/>
          <w:szCs w:val="21"/>
        </w:rPr>
        <w:t>4.4消费需求细节化扩展，品牌方需深化产品设计能力和市场规模化能力</w:t>
      </w:r>
      <w:bookmarkEnd w:id="42"/>
    </w:p>
    <w:p>
      <w:pPr>
        <w:spacing w:line="360" w:lineRule="auto"/>
        <w:ind w:firstLine="420" w:firstLineChars="200"/>
        <w:rPr>
          <w:rFonts w:ascii="宋体" w:hAnsi="宋体" w:eastAsia="宋体" w:cs="宋体"/>
          <w:szCs w:val="21"/>
        </w:rPr>
      </w:pPr>
      <w:r>
        <w:rPr>
          <w:rFonts w:hint="eastAsia" w:ascii="宋体" w:hAnsi="宋体" w:eastAsia="宋体" w:cs="宋体"/>
          <w:szCs w:val="21"/>
        </w:rPr>
        <w:t>新一代宝爸宝妈对母婴产品的需求已从实用、性价比高，向个性化和多元化转变。除品质与安全性外，消费者对母婴产品的产品口感、营养成分、功效效果、产品设计感等有更多的诉求，这将带动母婴产向精细化发展，因此需要母婴品牌商有着深化产品设计能力和市场规模化能力，要素分析如图44所示：</w:t>
      </w:r>
    </w:p>
    <w:p>
      <w:pPr>
        <w:spacing w:line="360" w:lineRule="auto"/>
        <w:jc w:val="center"/>
        <w:rPr>
          <w:rFonts w:ascii="宋体" w:hAnsi="宋体" w:eastAsia="宋体" w:cs="宋体"/>
          <w:sz w:val="24"/>
        </w:rPr>
      </w:pPr>
      <w:r>
        <w:rPr>
          <w:rFonts w:hint="eastAsia" w:ascii="宋体" w:hAnsi="宋体" w:eastAsia="宋体" w:cs="宋体"/>
        </w:rPr>
        <w:drawing>
          <wp:inline distT="0" distB="0" distL="0" distR="0">
            <wp:extent cx="5274310" cy="2229485"/>
            <wp:effectExtent l="9525" t="9525" r="12065"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4310" cy="2229485"/>
                    </a:xfrm>
                    <a:prstGeom prst="rect">
                      <a:avLst/>
                    </a:prstGeom>
                    <a:noFill/>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图44 婴童产品细节化分析</w:t>
      </w:r>
    </w:p>
    <w:p>
      <w:pPr>
        <w:spacing w:line="360" w:lineRule="auto"/>
        <w:outlineLvl w:val="2"/>
        <w:rPr>
          <w:rFonts w:ascii="宋体" w:hAnsi="宋体" w:eastAsia="宋体" w:cs="宋体"/>
          <w:szCs w:val="21"/>
        </w:rPr>
      </w:pPr>
      <w:bookmarkStart w:id="43" w:name="_Toc4937"/>
      <w:r>
        <w:rPr>
          <w:rFonts w:hint="eastAsia" w:ascii="宋体" w:hAnsi="宋体" w:eastAsia="宋体" w:cs="宋体"/>
          <w:szCs w:val="21"/>
        </w:rPr>
        <w:t>4.5消费群体扩容：婴儿用品成人化使用趋势显著</w:t>
      </w:r>
      <w:bookmarkEnd w:id="43"/>
    </w:p>
    <w:p>
      <w:pPr>
        <w:spacing w:line="360" w:lineRule="auto"/>
        <w:ind w:firstLine="420" w:firstLineChars="200"/>
        <w:rPr>
          <w:rFonts w:ascii="宋体" w:hAnsi="宋体" w:eastAsia="宋体" w:cs="宋体"/>
          <w:szCs w:val="21"/>
        </w:rPr>
      </w:pPr>
      <w:r>
        <w:rPr>
          <w:rFonts w:hint="eastAsia" w:ascii="宋体" w:hAnsi="宋体" w:eastAsia="宋体" w:cs="宋体"/>
          <w:szCs w:val="21"/>
        </w:rPr>
        <w:t>婴儿奶粉，婴儿湿巾等均有成人化趋势。以婴幼儿湿巾为例，作为我们日常触及以及消费频次较高的产品之一，目前婴幼儿湿巾使用场景已经非常丰富。婴幼儿湿巾因不含化学成分，不含酒精、荧光剂，接近肌肤的安全 PH 值，更为安全，因此更受成人的喜爱，具体适用人群比例如图45所示：</w:t>
      </w:r>
    </w:p>
    <w:p>
      <w:pPr>
        <w:spacing w:line="360" w:lineRule="auto"/>
        <w:jc w:val="center"/>
        <w:rPr>
          <w:rFonts w:ascii="宋体" w:hAnsi="宋体" w:eastAsia="宋体" w:cs="宋体"/>
          <w:sz w:val="24"/>
        </w:rPr>
      </w:pPr>
      <w:r>
        <w:rPr>
          <w:rFonts w:hint="eastAsia" w:ascii="宋体" w:hAnsi="宋体" w:eastAsia="宋体" w:cs="宋体"/>
        </w:rPr>
        <w:drawing>
          <wp:inline distT="0" distB="0" distL="0" distR="0">
            <wp:extent cx="4398010" cy="1624330"/>
            <wp:effectExtent l="9525" t="9525" r="12065"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4418120" cy="1631927"/>
                    </a:xfrm>
                    <a:prstGeom prst="rect">
                      <a:avLst/>
                    </a:prstGeom>
                    <a:noFill/>
                    <a:ln>
                      <a:solidFill>
                        <a:schemeClr val="bg2"/>
                      </a:solidFill>
                    </a:ln>
                  </pic:spPr>
                </pic:pic>
              </a:graphicData>
            </a:graphic>
          </wp:inline>
        </w:drawing>
      </w:r>
    </w:p>
    <w:p>
      <w:pPr>
        <w:spacing w:line="360" w:lineRule="auto"/>
        <w:ind w:firstLine="360" w:firstLineChars="200"/>
        <w:jc w:val="center"/>
        <w:rPr>
          <w:rFonts w:hint="eastAsia" w:ascii="宋体" w:hAnsi="宋体" w:eastAsia="宋体" w:cs="宋体"/>
          <w:sz w:val="18"/>
          <w:szCs w:val="18"/>
        </w:rPr>
        <w:sectPr>
          <w:headerReference r:id="rId14" w:type="default"/>
          <w:type w:val="continuous"/>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18"/>
          <w:szCs w:val="18"/>
        </w:rPr>
        <w:t>图45 婴儿湿巾适用比例分布</w:t>
      </w:r>
    </w:p>
    <w:p>
      <w:pPr>
        <w:rPr>
          <w:rFonts w:ascii="楷体_GB2312" w:eastAsia="黑体"/>
          <w:color w:val="000000"/>
          <w:sz w:val="28"/>
          <w:szCs w:val="28"/>
        </w:rPr>
      </w:pPr>
      <w:r>
        <w:rPr>
          <w:rFonts w:hint="eastAsia" w:eastAsia="黑体"/>
          <w:color w:val="000000"/>
          <w:sz w:val="28"/>
          <w:szCs w:val="28"/>
        </w:rPr>
        <w:t>第三部分：商业策划书</w:t>
      </w:r>
    </w:p>
    <w:p>
      <w:pPr>
        <w:spacing w:line="360" w:lineRule="auto"/>
        <w:outlineLvl w:val="0"/>
        <w:rPr>
          <w:rFonts w:ascii="宋体" w:hAnsi="宋体" w:eastAsia="宋体" w:cs="宋体"/>
          <w:sz w:val="28"/>
          <w:szCs w:val="28"/>
        </w:rPr>
      </w:pPr>
      <w:bookmarkStart w:id="44" w:name="_Toc1970"/>
      <w:r>
        <w:rPr>
          <w:rFonts w:hint="eastAsia" w:ascii="宋体" w:hAnsi="宋体" w:eastAsia="宋体" w:cs="宋体"/>
          <w:sz w:val="28"/>
          <w:szCs w:val="28"/>
        </w:rPr>
        <w:t>五、产品营销策略</w:t>
      </w:r>
      <w:bookmarkEnd w:id="44"/>
    </w:p>
    <w:p>
      <w:pPr>
        <w:spacing w:line="360" w:lineRule="auto"/>
        <w:outlineLvl w:val="1"/>
        <w:rPr>
          <w:rFonts w:ascii="宋体" w:hAnsi="宋体" w:eastAsia="宋体" w:cs="宋体"/>
          <w:sz w:val="24"/>
        </w:rPr>
      </w:pPr>
      <w:bookmarkStart w:id="45" w:name="_Toc20720"/>
      <w:r>
        <w:rPr>
          <w:rFonts w:hint="eastAsia" w:ascii="宋体" w:hAnsi="宋体" w:eastAsia="宋体" w:cs="宋体"/>
          <w:sz w:val="24"/>
        </w:rPr>
        <w:t>1.策划目标</w:t>
      </w:r>
      <w:bookmarkEnd w:id="45"/>
    </w:p>
    <w:p>
      <w:pPr>
        <w:spacing w:line="360" w:lineRule="auto"/>
        <w:ind w:firstLine="420" w:firstLineChars="200"/>
        <w:rPr>
          <w:rFonts w:ascii="宋体" w:hAnsi="宋体" w:eastAsia="宋体" w:cs="宋体"/>
          <w:szCs w:val="21"/>
        </w:rPr>
      </w:pPr>
      <w:r>
        <w:rPr>
          <w:rFonts w:hint="eastAsia" w:ascii="宋体" w:hAnsi="宋体" w:eastAsia="宋体" w:cs="宋体"/>
          <w:szCs w:val="21"/>
        </w:rPr>
        <w:t>本文最策划部分目的为制定好孩子婴童产品市场营销策略及可行性分析和预期效果。具体目标如下：</w:t>
      </w:r>
    </w:p>
    <w:p>
      <w:pPr>
        <w:numPr>
          <w:ilvl w:val="0"/>
          <w:numId w:val="8"/>
        </w:numPr>
        <w:spacing w:line="360" w:lineRule="auto"/>
        <w:ind w:firstLine="420" w:firstLineChars="200"/>
        <w:rPr>
          <w:rFonts w:ascii="宋体" w:hAnsi="宋体" w:eastAsia="宋体" w:cs="宋体"/>
          <w:szCs w:val="21"/>
        </w:rPr>
      </w:pPr>
      <w:r>
        <w:rPr>
          <w:rFonts w:hint="eastAsia" w:ascii="宋体" w:hAnsi="宋体" w:eastAsia="宋体" w:cs="宋体"/>
          <w:szCs w:val="21"/>
          <w:lang w:val="en-US" w:eastAsia="zh-CN"/>
        </w:rPr>
        <w:t>确定总体营销策略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ascii="宋体" w:hAnsi="宋体" w:eastAsia="宋体" w:cs="宋体"/>
          <w:szCs w:val="21"/>
        </w:rPr>
      </w:pPr>
      <w:r>
        <w:rPr>
          <w:rFonts w:hint="eastAsia" w:ascii="宋体" w:hAnsi="宋体" w:eastAsia="宋体" w:cs="宋体"/>
          <w:szCs w:val="21"/>
        </w:rPr>
        <w:t>根据婴童产品市场研究结果，通过对好孩子婴童产品市场产品结构，用户需求及价格分析，确定好孩子婴童产品市场的总体营销策略；</w:t>
      </w:r>
    </w:p>
    <w:p>
      <w:pPr>
        <w:numPr>
          <w:ilvl w:val="0"/>
          <w:numId w:val="8"/>
        </w:numPr>
        <w:spacing w:line="360" w:lineRule="auto"/>
        <w:ind w:firstLine="420" w:firstLineChars="200"/>
        <w:rPr>
          <w:rFonts w:ascii="宋体" w:hAnsi="宋体" w:eastAsia="宋体" w:cs="宋体"/>
          <w:szCs w:val="21"/>
        </w:rPr>
      </w:pPr>
      <w:r>
        <w:rPr>
          <w:rFonts w:hint="eastAsia" w:ascii="宋体" w:hAnsi="宋体" w:eastAsia="宋体" w:cs="宋体"/>
          <w:szCs w:val="21"/>
          <w:lang w:val="en-US" w:eastAsia="zh-CN"/>
        </w:rPr>
        <w:t>细化相关策略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ascii="宋体" w:hAnsi="宋体" w:eastAsia="宋体" w:cs="宋体"/>
          <w:szCs w:val="21"/>
        </w:rPr>
      </w:pPr>
      <w:r>
        <w:rPr>
          <w:rFonts w:hint="eastAsia" w:ascii="宋体" w:hAnsi="宋体" w:eastAsia="宋体" w:cs="宋体"/>
          <w:szCs w:val="21"/>
        </w:rPr>
        <w:t>细化分析好孩子婴童产品市场的产品营销策略、价格营销策略、渠道推广策略、促销策略、服务策略；</w:t>
      </w:r>
    </w:p>
    <w:p>
      <w:pPr>
        <w:numPr>
          <w:ilvl w:val="0"/>
          <w:numId w:val="8"/>
        </w:numPr>
        <w:spacing w:line="360" w:lineRule="auto"/>
        <w:ind w:firstLine="420" w:firstLineChars="200"/>
        <w:rPr>
          <w:rFonts w:ascii="宋体" w:hAnsi="宋体" w:eastAsia="宋体" w:cs="宋体"/>
          <w:szCs w:val="21"/>
        </w:rPr>
      </w:pPr>
      <w:r>
        <w:rPr>
          <w:rFonts w:hint="eastAsia" w:ascii="宋体" w:hAnsi="宋体" w:eastAsia="宋体" w:cs="宋体"/>
          <w:szCs w:val="21"/>
          <w:lang w:val="en-US" w:eastAsia="zh-CN"/>
        </w:rPr>
        <w:t>可行性与预期结果分析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ascii="宋体" w:hAnsi="宋体" w:eastAsia="宋体" w:cs="宋体"/>
          <w:szCs w:val="21"/>
        </w:rPr>
      </w:pPr>
      <w:r>
        <w:rPr>
          <w:rFonts w:hint="eastAsia" w:ascii="宋体" w:hAnsi="宋体" w:eastAsia="宋体" w:cs="宋体"/>
          <w:szCs w:val="21"/>
        </w:rPr>
        <w:t>为探究好孩子婴童产品市场营销策略能否成功实施，我们进行了可行性分析，并根据策略对应分析可能实现的预期效果以供参考。</w:t>
      </w:r>
    </w:p>
    <w:p>
      <w:pPr>
        <w:spacing w:line="360" w:lineRule="auto"/>
        <w:outlineLvl w:val="1"/>
        <w:rPr>
          <w:rFonts w:ascii="宋体" w:hAnsi="宋体" w:eastAsia="宋体" w:cs="宋体"/>
          <w:sz w:val="24"/>
        </w:rPr>
      </w:pPr>
      <w:bookmarkStart w:id="46" w:name="_Toc13690"/>
      <w:r>
        <w:rPr>
          <w:rFonts w:hint="eastAsia" w:ascii="宋体" w:hAnsi="宋体" w:eastAsia="宋体" w:cs="宋体"/>
          <w:sz w:val="24"/>
        </w:rPr>
        <w:t>2.STP战略分析</w:t>
      </w:r>
      <w:bookmarkEnd w:id="46"/>
    </w:p>
    <w:p>
      <w:pPr>
        <w:spacing w:line="360" w:lineRule="auto"/>
        <w:outlineLvl w:val="2"/>
        <w:rPr>
          <w:rFonts w:ascii="宋体" w:hAnsi="宋体" w:eastAsia="宋体" w:cs="宋体"/>
          <w:szCs w:val="21"/>
        </w:rPr>
      </w:pPr>
      <w:bookmarkStart w:id="47" w:name="_Toc27645"/>
      <w:r>
        <w:rPr>
          <w:rFonts w:hint="eastAsia" w:ascii="宋体" w:hAnsi="宋体" w:eastAsia="宋体" w:cs="宋体"/>
          <w:szCs w:val="21"/>
        </w:rPr>
        <w:t>2.1市场细分</w:t>
      </w:r>
      <w:bookmarkEnd w:id="47"/>
    </w:p>
    <w:p>
      <w:pPr>
        <w:spacing w:line="360" w:lineRule="auto"/>
        <w:ind w:firstLine="420" w:firstLineChars="200"/>
        <w:rPr>
          <w:rFonts w:ascii="宋体" w:hAnsi="宋体" w:eastAsia="宋体" w:cs="宋体"/>
          <w:szCs w:val="21"/>
        </w:rPr>
      </w:pPr>
      <w:r>
        <w:rPr>
          <w:rFonts w:hint="eastAsia" w:ascii="宋体" w:hAnsi="宋体" w:eastAsia="宋体" w:cs="宋体"/>
          <w:szCs w:val="21"/>
        </w:rPr>
        <w:t>（1）地理变量细分市场如表3所示：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表3 地理变量细分市场分析</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2129"/>
        <w:gridCol w:w="2130"/>
        <w:gridCol w:w="21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exact"/>
        </w:trPr>
        <w:tc>
          <w:tcPr>
            <w:tcW w:w="2129"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both"/>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细分大标准</w:t>
            </w:r>
          </w:p>
        </w:tc>
        <w:tc>
          <w:tcPr>
            <w:tcW w:w="2129"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细分小标准</w:t>
            </w:r>
          </w:p>
        </w:tc>
        <w:tc>
          <w:tcPr>
            <w:tcW w:w="2130"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细分变量</w:t>
            </w:r>
          </w:p>
        </w:tc>
        <w:tc>
          <w:tcPr>
            <w:tcW w:w="2130"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变量类型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82" w:hRule="exact"/>
        </w:trPr>
        <w:tc>
          <w:tcPr>
            <w:tcW w:w="2129" w:type="dxa"/>
            <w:vMerge w:val="restart"/>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宋体" w:hAnsi="宋体" w:cs="宋体"/>
                <w:sz w:val="18"/>
                <w:szCs w:val="18"/>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宋体" w:hAnsi="宋体" w:cs="宋体"/>
                <w:sz w:val="18"/>
                <w:szCs w:val="18"/>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eastAsia" w:ascii="宋体" w:hAnsi="宋体" w:cs="宋体"/>
                <w:sz w:val="18"/>
                <w:szCs w:val="18"/>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firstLine="540" w:firstLineChars="300"/>
              <w:jc w:val="both"/>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地理细分</w:t>
            </w:r>
          </w:p>
        </w:tc>
        <w:tc>
          <w:tcPr>
            <w:tcW w:w="2129" w:type="dxa"/>
            <w:vMerge w:val="restart"/>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eastAsia" w:ascii="宋体" w:hAnsi="宋体" w:cs="宋体"/>
                <w:sz w:val="18"/>
                <w:szCs w:val="18"/>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城市细分</w:t>
            </w:r>
          </w:p>
        </w:tc>
        <w:tc>
          <w:tcPr>
            <w:tcW w:w="2130"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二三线城市</w:t>
            </w:r>
          </w:p>
        </w:tc>
        <w:tc>
          <w:tcPr>
            <w:tcW w:w="2130"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太原，长春，沈阳等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exact"/>
        </w:trPr>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一线城郊</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北京燕郊，天津武清等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exact"/>
        </w:trPr>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乡镇郊县</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蓟县等地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exact"/>
        </w:trPr>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29" w:type="dxa"/>
            <w:vMerge w:val="restart"/>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540" w:firstLineChars="300"/>
              <w:jc w:val="both"/>
              <w:textAlignment w:val="auto"/>
              <w:rPr>
                <w:rFonts w:hint="eastAsia" w:ascii="宋体" w:hAnsi="宋体" w:cs="宋体"/>
                <w:sz w:val="18"/>
                <w:szCs w:val="18"/>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left="0" w:leftChars="0" w:firstLine="540" w:firstLineChars="300"/>
              <w:jc w:val="both"/>
              <w:textAlignment w:val="auto"/>
              <w:rPr>
                <w:rFonts w:hint="default"/>
                <w:sz w:val="18"/>
                <w:szCs w:val="18"/>
                <w:lang w:val="en-US" w:eastAsia="zh-CN"/>
              </w:rPr>
            </w:pPr>
            <w:r>
              <w:rPr>
                <w:rFonts w:hint="eastAsia" w:ascii="宋体" w:hAnsi="宋体" w:cs="宋体"/>
                <w:sz w:val="18"/>
                <w:szCs w:val="18"/>
                <w:vertAlign w:val="baseline"/>
                <w:lang w:val="en-US" w:eastAsia="zh-CN"/>
              </w:rPr>
              <w:t>区域细分</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高档居民小区</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万科，龙湖等小区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exact"/>
        </w:trPr>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中低档居民小区</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恒大，碧桂园等小区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exact"/>
        </w:trPr>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城镇小区</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回迁楼，老旧楼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exact"/>
        </w:trPr>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29" w:type="dxa"/>
            <w:vMerge w:val="continue"/>
            <w:vAlign w:val="top"/>
          </w:tcPr>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hint="default" w:ascii="宋体" w:hAnsi="宋体" w:eastAsia="宋体" w:cs="宋体"/>
                <w:sz w:val="18"/>
                <w:szCs w:val="18"/>
                <w:vertAlign w:val="baseline"/>
                <w:lang w:val="en-US" w:eastAsia="zh-CN"/>
              </w:rPr>
            </w:pP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大型购物商场</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沃尔玛，家乐福等</w:t>
            </w:r>
          </w:p>
        </w:tc>
      </w:tr>
    </w:tbl>
    <w:p>
      <w:pPr>
        <w:spacing w:line="360" w:lineRule="auto"/>
        <w:ind w:firstLine="420" w:firstLineChars="200"/>
        <w:rPr>
          <w:rFonts w:ascii="宋体" w:hAnsi="宋体" w:eastAsia="宋体" w:cs="宋体"/>
          <w:szCs w:val="21"/>
        </w:rPr>
      </w:pPr>
      <w:r>
        <w:rPr>
          <w:rFonts w:hint="eastAsia" w:ascii="宋体" w:hAnsi="宋体" w:eastAsia="宋体" w:cs="宋体"/>
          <w:szCs w:val="21"/>
        </w:rPr>
        <w:t>（2）消费者群体细分市场如表4所示：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表4 消费者群体细分市场分析</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4"/>
        <w:gridCol w:w="2200"/>
        <w:gridCol w:w="416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7" w:hRule="exact"/>
        </w:trPr>
        <w:tc>
          <w:tcPr>
            <w:tcW w:w="2154"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细分类型</w:t>
            </w:r>
          </w:p>
        </w:tc>
        <w:tc>
          <w:tcPr>
            <w:tcW w:w="2200"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细分变量</w:t>
            </w:r>
          </w:p>
        </w:tc>
        <w:tc>
          <w:tcPr>
            <w:tcW w:w="4166"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变量类型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7" w:hRule="exact"/>
        </w:trPr>
        <w:tc>
          <w:tcPr>
            <w:tcW w:w="2154" w:type="dxa"/>
            <w:vMerge w:val="restart"/>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按照母婴群体</w:t>
            </w:r>
          </w:p>
        </w:tc>
        <w:tc>
          <w:tcPr>
            <w:tcW w:w="2200"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备孕妈妈</w:t>
            </w:r>
          </w:p>
        </w:tc>
        <w:tc>
          <w:tcPr>
            <w:tcW w:w="4166"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育儿知识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7" w:hRule="exact"/>
        </w:trPr>
        <w:tc>
          <w:tcPr>
            <w:tcW w:w="2154"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vertAlign w:val="baseline"/>
                <w:lang w:val="en-US" w:eastAsia="zh-CN"/>
              </w:rPr>
            </w:pPr>
          </w:p>
        </w:tc>
        <w:tc>
          <w:tcPr>
            <w:tcW w:w="220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孕妇</w:t>
            </w:r>
          </w:p>
        </w:tc>
        <w:tc>
          <w:tcPr>
            <w:tcW w:w="4166"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品质和价格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7" w:hRule="exact"/>
        </w:trPr>
        <w:tc>
          <w:tcPr>
            <w:tcW w:w="2154"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vertAlign w:val="baseline"/>
                <w:lang w:val="en-US" w:eastAsia="zh-CN"/>
              </w:rPr>
            </w:pPr>
          </w:p>
        </w:tc>
        <w:tc>
          <w:tcPr>
            <w:tcW w:w="220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孕后妇女</w:t>
            </w:r>
          </w:p>
        </w:tc>
        <w:tc>
          <w:tcPr>
            <w:tcW w:w="4166"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育儿经验</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7" w:hRule="exact"/>
        </w:trPr>
        <w:tc>
          <w:tcPr>
            <w:tcW w:w="2154"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vertAlign w:val="baseline"/>
                <w:lang w:val="en-US" w:eastAsia="zh-CN"/>
              </w:rPr>
            </w:pPr>
          </w:p>
        </w:tc>
        <w:tc>
          <w:tcPr>
            <w:tcW w:w="220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0-6岁婴儿</w:t>
            </w:r>
          </w:p>
        </w:tc>
        <w:tc>
          <w:tcPr>
            <w:tcW w:w="4166"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育儿用品标准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7" w:hRule="exact"/>
        </w:trPr>
        <w:tc>
          <w:tcPr>
            <w:tcW w:w="2154" w:type="dxa"/>
            <w:vMerge w:val="restart"/>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cs="宋体"/>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按照收入群体</w:t>
            </w:r>
          </w:p>
        </w:tc>
        <w:tc>
          <w:tcPr>
            <w:tcW w:w="220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80000元/年</w:t>
            </w:r>
          </w:p>
        </w:tc>
        <w:tc>
          <w:tcPr>
            <w:tcW w:w="4166"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低需求，产品选择性价比</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7" w:hRule="exact"/>
        </w:trPr>
        <w:tc>
          <w:tcPr>
            <w:tcW w:w="2154"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vertAlign w:val="baseline"/>
                <w:lang w:val="en-US" w:eastAsia="zh-CN"/>
              </w:rPr>
            </w:pPr>
          </w:p>
        </w:tc>
        <w:tc>
          <w:tcPr>
            <w:tcW w:w="220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8-30万元/年</w:t>
            </w:r>
          </w:p>
        </w:tc>
        <w:tc>
          <w:tcPr>
            <w:tcW w:w="4166"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不会介入购买过程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09" w:hRule="exact"/>
        </w:trPr>
        <w:tc>
          <w:tcPr>
            <w:tcW w:w="2154"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vertAlign w:val="baseline"/>
                <w:lang w:val="en-US" w:eastAsia="zh-CN"/>
              </w:rPr>
            </w:pPr>
          </w:p>
        </w:tc>
        <w:tc>
          <w:tcPr>
            <w:tcW w:w="2200"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30万元/年以上</w:t>
            </w:r>
          </w:p>
        </w:tc>
        <w:tc>
          <w:tcPr>
            <w:tcW w:w="4166"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优质产品</w:t>
            </w:r>
          </w:p>
        </w:tc>
      </w:tr>
    </w:tbl>
    <w:p>
      <w:pPr>
        <w:spacing w:line="360" w:lineRule="auto"/>
        <w:ind w:firstLine="420" w:firstLineChars="200"/>
        <w:jc w:val="left"/>
        <w:rPr>
          <w:rFonts w:ascii="宋体" w:hAnsi="宋体" w:eastAsia="宋体" w:cs="宋体"/>
          <w:szCs w:val="21"/>
        </w:rPr>
      </w:pPr>
      <w:r>
        <w:rPr>
          <w:rFonts w:hint="eastAsia" w:ascii="宋体" w:hAnsi="宋体" w:eastAsia="宋体" w:cs="宋体"/>
          <w:szCs w:val="21"/>
        </w:rPr>
        <w:t>（3）消费者变量细分市场：</w:t>
      </w:r>
    </w:p>
    <w:p>
      <w:pPr>
        <w:spacing w:line="360" w:lineRule="auto"/>
        <w:ind w:firstLine="420" w:firstLineChars="200"/>
        <w:rPr>
          <w:rFonts w:ascii="宋体" w:hAnsi="宋体" w:eastAsia="宋体" w:cs="宋体"/>
          <w:color w:val="262626"/>
          <w:szCs w:val="21"/>
          <w:shd w:val="clear" w:color="auto" w:fill="FFFFFF"/>
        </w:rPr>
      </w:pPr>
      <w:r>
        <w:rPr>
          <w:rFonts w:hint="eastAsia" w:ascii="宋体" w:hAnsi="宋体" w:eastAsia="宋体" w:cs="宋体"/>
          <w:color w:val="262626"/>
          <w:szCs w:val="21"/>
          <w:shd w:val="clear" w:color="auto" w:fill="FFFFFF"/>
        </w:rPr>
        <w:t>随着中国母婴市场持续增长，“90后”逐渐成为婴童产品市场的消费主力军。基于本企业中高端辅零食品牌的定位，我们将集中于中高端孕婴市场实行差异化战略，以90后宝爸宝妈为主的消费主力军作为目标受众，采取以一二线城市为主、三四线城市为辅的策略，切实贴合目标消费人群的兴趣偏好，以婴童食品为侧重点，将婴童产品的其他品类作为横向信息补充对产品及服务做出提升。</w:t>
      </w:r>
    </w:p>
    <w:p>
      <w:pPr>
        <w:spacing w:line="360" w:lineRule="auto"/>
        <w:outlineLvl w:val="2"/>
        <w:rPr>
          <w:rFonts w:ascii="宋体" w:hAnsi="宋体" w:eastAsia="宋体" w:cs="宋体"/>
          <w:szCs w:val="21"/>
        </w:rPr>
      </w:pPr>
      <w:bookmarkStart w:id="48" w:name="_Toc27966"/>
      <w:r>
        <w:rPr>
          <w:rFonts w:hint="eastAsia" w:ascii="宋体" w:hAnsi="宋体" w:eastAsia="宋体" w:cs="宋体"/>
          <w:szCs w:val="21"/>
        </w:rPr>
        <w:t>2.2目标市场选择</w:t>
      </w:r>
      <w:bookmarkEnd w:id="48"/>
    </w:p>
    <w:p>
      <w:pPr>
        <w:spacing w:line="360" w:lineRule="auto"/>
        <w:ind w:firstLine="420" w:firstLineChars="200"/>
        <w:rPr>
          <w:rFonts w:ascii="宋体" w:hAnsi="宋体" w:eastAsia="宋体" w:cs="宋体"/>
        </w:rPr>
      </w:pPr>
      <w:r>
        <w:rPr>
          <w:rFonts w:hint="eastAsia" w:ascii="宋体" w:hAnsi="宋体" w:eastAsia="宋体" w:cs="宋体"/>
        </w:rPr>
        <w:t>通过目标市场可以获得市场的资源和优势，公司业务起源于海南，目前主要经营策略集中在南方地区，可以逐渐向周边城市靠拢。根据公司现状我们设定的目标市场选择情况如表6所示：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w:t>
      </w:r>
      <w:r>
        <w:rPr>
          <w:rFonts w:hint="eastAsia" w:ascii="宋体" w:hAnsi="宋体" w:eastAsia="宋体" w:cs="宋体"/>
          <w:sz w:val="18"/>
          <w:szCs w:val="18"/>
          <w:lang w:val="en-US" w:eastAsia="zh-CN"/>
        </w:rPr>
        <w:t>5</w:t>
      </w:r>
      <w:r>
        <w:rPr>
          <w:rFonts w:hint="eastAsia" w:ascii="宋体" w:hAnsi="宋体" w:eastAsia="宋体" w:cs="宋体"/>
          <w:sz w:val="18"/>
          <w:szCs w:val="18"/>
        </w:rPr>
        <w:t xml:space="preserve"> 目标市场选择分析</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2840"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选择门类</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选择区域</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选择用品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2840"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中高端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一线、新一线城市</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高品质、高价位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2840"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中低端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二线及以下城市</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多价位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2840"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低端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城郊农村等</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28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普通刚需产品</w:t>
            </w:r>
          </w:p>
        </w:tc>
      </w:tr>
    </w:tbl>
    <w:p>
      <w:pPr>
        <w:spacing w:line="360" w:lineRule="auto"/>
        <w:outlineLvl w:val="2"/>
        <w:rPr>
          <w:rFonts w:ascii="宋体" w:hAnsi="宋体" w:eastAsia="宋体" w:cs="宋体"/>
          <w:szCs w:val="21"/>
        </w:rPr>
      </w:pPr>
      <w:bookmarkStart w:id="49" w:name="_Toc18322"/>
      <w:r>
        <w:rPr>
          <w:rFonts w:hint="eastAsia" w:ascii="宋体" w:hAnsi="宋体" w:eastAsia="宋体" w:cs="宋体"/>
          <w:szCs w:val="21"/>
        </w:rPr>
        <w:t>2.3市场定位</w:t>
      </w:r>
      <w:bookmarkEnd w:id="49"/>
    </w:p>
    <w:p>
      <w:pPr>
        <w:spacing w:line="360" w:lineRule="auto"/>
        <w:ind w:firstLine="420" w:firstLineChars="200"/>
        <w:rPr>
          <w:rFonts w:ascii="宋体" w:hAnsi="宋体" w:eastAsia="宋体" w:cs="宋体"/>
        </w:rPr>
      </w:pPr>
      <w:r>
        <w:rPr>
          <w:rFonts w:hint="eastAsia" w:ascii="宋体" w:hAnsi="宋体" w:eastAsia="宋体" w:cs="宋体"/>
        </w:rPr>
        <w:t>好孩子（海南）食品有限公司的品牌和产品定位围绕在市场细分和目标市场选择的宗旨下，当对于市场细分之后得出基于消费者的收入水平、地理变量等因素可以完成细分，目标市场的选择确定了消费群体，这就为市场定位做出了重要的铺垫。正确的市场定位有利于企业的发展。</w:t>
      </w:r>
    </w:p>
    <w:p>
      <w:pPr>
        <w:spacing w:line="360" w:lineRule="auto"/>
        <w:ind w:firstLine="420" w:firstLineChars="200"/>
        <w:rPr>
          <w:rFonts w:ascii="宋体" w:hAnsi="宋体" w:eastAsia="宋体" w:cs="宋体"/>
        </w:rPr>
      </w:pPr>
      <w:r>
        <w:rPr>
          <w:rFonts w:hint="eastAsia" w:ascii="宋体" w:hAnsi="宋体" w:eastAsia="宋体" w:cs="宋体"/>
        </w:rPr>
        <w:t>（1）品牌定位</w:t>
      </w:r>
    </w:p>
    <w:p>
      <w:pPr>
        <w:spacing w:line="360" w:lineRule="auto"/>
        <w:ind w:firstLine="420" w:firstLineChars="200"/>
        <w:rPr>
          <w:rFonts w:ascii="宋体" w:hAnsi="宋体" w:eastAsia="宋体" w:cs="宋体"/>
        </w:rPr>
      </w:pPr>
      <w:r>
        <w:rPr>
          <w:rFonts w:hint="eastAsia" w:ascii="宋体" w:hAnsi="宋体" w:eastAsia="宋体" w:cs="宋体"/>
        </w:rPr>
        <w:t>品牌定位可以根据公司的具体情况进行有针对性的划分。本公司的母婴产品和其它母婴产品有同类型的产品，因此在定位的环节当中应该把树立企业品牌设定成本公司奋斗和追求超越的目标。从消费者的角度去看，往往不同的品牌所对应的档次是不同的，那么在这种情况之下就可以根据消费者对于这个品牌所形成的一个固有的档次来进行品牌的档次的精准定位。</w:t>
      </w:r>
    </w:p>
    <w:p>
      <w:pPr>
        <w:spacing w:line="360" w:lineRule="auto"/>
        <w:ind w:firstLine="420" w:firstLineChars="200"/>
        <w:rPr>
          <w:rFonts w:ascii="宋体" w:hAnsi="宋体" w:eastAsia="宋体" w:cs="宋体"/>
        </w:rPr>
      </w:pPr>
      <w:r>
        <w:rPr>
          <w:rFonts w:hint="eastAsia" w:ascii="宋体" w:hAnsi="宋体" w:eastAsia="宋体" w:cs="宋体"/>
        </w:rPr>
        <w:t>（2）产品定位</w:t>
      </w:r>
    </w:p>
    <w:p>
      <w:pPr>
        <w:spacing w:line="360" w:lineRule="auto"/>
        <w:ind w:firstLine="420" w:firstLineChars="200"/>
        <w:rPr>
          <w:rFonts w:ascii="宋体" w:hAnsi="宋体" w:eastAsia="宋体" w:cs="宋体"/>
        </w:rPr>
      </w:pPr>
      <w:r>
        <w:rPr>
          <w:rFonts w:hint="eastAsia" w:ascii="宋体" w:hAnsi="宋体" w:eastAsia="宋体" w:cs="宋体"/>
        </w:rPr>
        <w:t>从产品特点来看，从健康角度或食品安全方面出发，为消费者甄选良心商品，以母婴安全为己任，搭建科学育儿服务平台，提高销售能力，打造品牌，提升竞争力有诸多积极意义。从产品用途而言，首先运营企业对自身发展做出合理精准定位后，在后续的发展中严格遵循自身定位，很自然地能体现出产品自身的核心价值。同时，也能够彰显产品个性，消费者在购买过程中也会感受到与其他产品的差异性。最后，公司在做出品牌定位之后，更要关注相应产品的研发阶段。</w:t>
      </w:r>
    </w:p>
    <w:p>
      <w:pPr>
        <w:spacing w:line="360" w:lineRule="auto"/>
        <w:outlineLvl w:val="1"/>
        <w:rPr>
          <w:rFonts w:ascii="宋体" w:hAnsi="宋体" w:eastAsia="宋体" w:cs="宋体"/>
          <w:sz w:val="24"/>
        </w:rPr>
      </w:pPr>
      <w:bookmarkStart w:id="50" w:name="_Toc13570"/>
      <w:bookmarkStart w:id="51" w:name="_Toc30976"/>
      <w:r>
        <w:rPr>
          <w:rFonts w:hint="eastAsia" w:ascii="宋体" w:hAnsi="宋体" w:eastAsia="宋体" w:cs="宋体"/>
          <w:sz w:val="24"/>
        </w:rPr>
        <w:t>3.4P营销组合策略</w:t>
      </w:r>
      <w:bookmarkEnd w:id="50"/>
      <w:bookmarkEnd w:id="51"/>
    </w:p>
    <w:p>
      <w:pPr>
        <w:spacing w:line="360" w:lineRule="auto"/>
        <w:ind w:firstLine="420"/>
        <w:rPr>
          <w:rFonts w:ascii="宋体" w:hAnsi="宋体" w:eastAsia="宋体" w:cs="宋体"/>
        </w:rPr>
      </w:pPr>
      <w:r>
        <w:rPr>
          <w:rFonts w:hint="eastAsia" w:ascii="宋体" w:hAnsi="宋体" w:eastAsia="宋体" w:cs="宋体"/>
        </w:rPr>
        <w:t>企业以产品为核心展开营销活动，因此企业要立足于实际，依据消费者的不同特点、所处的不同阶段确定不同的产品层次，满足消费者的切实需求。好孩子食品（海南）有限公司致力于为婴幼儿的安全饮食、茁壮成长提供更专业的保护与贴心服务，以“妈妈第一选择”为目标，以“好孩子，成就孩子好未来”为使命，因此在产品的用料及包装设计等方面，均围绕“高质量、高标准、影响力”的核心价值，结合婴幼儿的特点进行产品设计和生产。</w:t>
      </w:r>
    </w:p>
    <w:p>
      <w:pPr>
        <w:spacing w:line="360" w:lineRule="auto"/>
        <w:outlineLvl w:val="2"/>
        <w:rPr>
          <w:rFonts w:ascii="宋体" w:hAnsi="宋体" w:eastAsia="宋体" w:cs="宋体"/>
          <w:szCs w:val="21"/>
        </w:rPr>
      </w:pPr>
      <w:bookmarkStart w:id="52" w:name="_Toc29945"/>
      <w:bookmarkStart w:id="53" w:name="_Toc21348"/>
      <w:r>
        <w:rPr>
          <w:rFonts w:hint="eastAsia" w:ascii="宋体" w:hAnsi="宋体" w:eastAsia="宋体" w:cs="宋体"/>
          <w:szCs w:val="21"/>
        </w:rPr>
        <w:t>3.1产品策略</w:t>
      </w:r>
      <w:bookmarkEnd w:id="52"/>
      <w:bookmarkEnd w:id="53"/>
    </w:p>
    <w:p>
      <w:pPr>
        <w:widowControl/>
        <w:spacing w:line="360" w:lineRule="auto"/>
        <w:ind w:left="420" w:leftChars="200"/>
        <w:jc w:val="left"/>
        <w:rPr>
          <w:rFonts w:ascii="宋体" w:hAnsi="宋体" w:eastAsia="宋体" w:cs="宋体"/>
        </w:rPr>
      </w:pPr>
      <w:r>
        <w:rPr>
          <w:rFonts w:hint="eastAsia" w:ascii="宋体" w:hAnsi="宋体" w:eastAsia="宋体" w:cs="宋体"/>
        </w:rPr>
        <w:t>（1）层次化产品策略</w:t>
      </w:r>
    </w:p>
    <w:p>
      <w:pPr>
        <w:widowControl/>
        <w:spacing w:line="360" w:lineRule="auto"/>
        <w:ind w:firstLine="420"/>
        <w:jc w:val="left"/>
        <w:rPr>
          <w:rFonts w:ascii="宋体" w:hAnsi="宋体" w:eastAsia="宋体" w:cs="宋体"/>
        </w:rPr>
      </w:pPr>
      <w:r>
        <w:rPr>
          <w:rFonts w:hint="eastAsia" w:ascii="宋体" w:hAnsi="宋体" w:eastAsia="宋体" w:cs="宋体"/>
        </w:rPr>
        <w:t>通过调研我们发现，由于婴童市场产品需求刚性，许多的消费者更加注重实用性与性价比，且婴童食品的重点品类主要集中于米饼、泡芙等零食，由此我们基于中高端辅食品牌的定位，建议开发层次化、阶段化的辅食零食产品，适‎应不同层次‎、不同场景需求的个性‎化生产，增加品牌的‎覆盖面。</w:t>
      </w:r>
    </w:p>
    <w:p>
      <w:pPr>
        <w:widowControl/>
        <w:spacing w:line="360" w:lineRule="auto"/>
        <w:ind w:firstLine="420"/>
        <w:jc w:val="left"/>
        <w:rPr>
          <w:rFonts w:ascii="宋体" w:hAnsi="宋体" w:eastAsia="宋体" w:cs="宋体"/>
        </w:rPr>
      </w:pPr>
      <w:r>
        <w:rPr>
          <w:rFonts w:hint="eastAsia" w:ascii="宋体" w:hAnsi="宋体" w:eastAsia="宋体" w:cs="宋体"/>
        </w:rPr>
        <w:t>高品类、高质量、高端婴童食品通过包装外观等加以区分，面向中高端消费市场，如优质终端与大型门面；一些优惠力度较大、特价、性价比高的产品主要推向中低端市场，如消费能力较低的偏远地区。</w:t>
      </w:r>
    </w:p>
    <w:p>
      <w:pPr>
        <w:widowControl/>
        <w:spacing w:line="360" w:lineRule="auto"/>
        <w:jc w:val="left"/>
        <w:rPr>
          <w:rFonts w:ascii="宋体" w:hAnsi="宋体" w:eastAsia="宋体" w:cs="宋体"/>
        </w:rPr>
      </w:pPr>
      <w:r>
        <w:rPr>
          <w:rFonts w:hint="eastAsia" w:ascii="宋体" w:hAnsi="宋体" w:eastAsia="宋体" w:cs="宋体"/>
        </w:rPr>
        <w:br w:type="page"/>
      </w:r>
    </w:p>
    <w:p>
      <w:pPr>
        <w:widowControl/>
        <w:spacing w:line="360" w:lineRule="auto"/>
        <w:ind w:left="420" w:leftChars="200"/>
        <w:jc w:val="left"/>
        <w:rPr>
          <w:rFonts w:ascii="宋体" w:hAnsi="宋体" w:eastAsia="宋体" w:cs="宋体"/>
        </w:rPr>
      </w:pPr>
      <w:r>
        <w:rPr>
          <w:rFonts w:hint="eastAsia" w:ascii="宋体" w:hAnsi="宋体" w:eastAsia="宋体" w:cs="宋体"/>
        </w:rPr>
        <w:t>（2）核心产品策略</w:t>
      </w:r>
    </w:p>
    <w:p>
      <w:pPr>
        <w:widowControl/>
        <w:spacing w:line="360" w:lineRule="auto"/>
        <w:ind w:firstLine="420"/>
        <w:jc w:val="left"/>
        <w:rPr>
          <w:rFonts w:ascii="宋体" w:hAnsi="宋体" w:eastAsia="宋体" w:cs="宋体"/>
        </w:rPr>
      </w:pPr>
      <w:r>
        <w:rPr>
          <w:rFonts w:hint="eastAsia" w:ascii="宋体" w:hAnsi="宋体" w:eastAsia="宋体" w:cs="宋体"/>
        </w:rPr>
        <w:t>核心产品是向顾客提供的产品的基本效用或利益，也就是顾客真正要购买的利益。对于婴童产品，尤其是食品品类，消费者要购买的是“安全、健康、专业”。</w:t>
      </w:r>
    </w:p>
    <w:p>
      <w:pPr>
        <w:widowControl/>
        <w:spacing w:line="360" w:lineRule="auto"/>
        <w:ind w:firstLine="420"/>
        <w:jc w:val="left"/>
        <w:rPr>
          <w:rFonts w:ascii="宋体" w:hAnsi="宋体" w:eastAsia="宋体" w:cs="宋体"/>
        </w:rPr>
      </w:pPr>
      <w:r>
        <w:rPr>
          <w:rFonts w:hint="eastAsia" w:ascii="宋体" w:hAnsi="宋体" w:eastAsia="宋体" w:cs="宋体"/>
        </w:rPr>
        <w:t>一方面，企业可以将产品营销侧重面调整到产品安全与专业特点上，如在产品用料与包装原料等方面采用安全环保的材料，与绿色、专业的原料供货商合作等，以满足目标市场的需求。另一方面，借力于以商业模式进行公益活动的方式，与偏远地区的较贫困农户或当地工厂合作，以公平贸易价格收购原材料如牛奶、瓜果等农畜产品。可以通过网络营销的方式，帮助当地农畜产品拓展销售渠道。企业的公益性项目在近期可能是社会效益，而在长期就可能转化为经济效益。</w:t>
      </w:r>
    </w:p>
    <w:p>
      <w:pPr>
        <w:widowControl/>
        <w:spacing w:line="360" w:lineRule="auto"/>
        <w:ind w:left="420" w:leftChars="200"/>
        <w:jc w:val="left"/>
        <w:rPr>
          <w:rFonts w:ascii="宋体" w:hAnsi="宋体" w:eastAsia="宋体" w:cs="宋体"/>
        </w:rPr>
      </w:pPr>
      <w:r>
        <w:rPr>
          <w:rFonts w:hint="eastAsia" w:ascii="宋体" w:hAnsi="宋体" w:eastAsia="宋体" w:cs="宋体"/>
        </w:rPr>
        <w:t>（3）强化品牌策略</w:t>
      </w:r>
    </w:p>
    <w:p>
      <w:pPr>
        <w:widowControl/>
        <w:spacing w:line="360" w:lineRule="auto"/>
        <w:ind w:firstLine="420"/>
        <w:jc w:val="left"/>
        <w:rPr>
          <w:rFonts w:ascii="宋体" w:hAnsi="宋体" w:eastAsia="宋体" w:cs="宋体"/>
        </w:rPr>
      </w:pPr>
      <w:r>
        <w:rPr>
          <w:rFonts w:hint="eastAsia" w:ascii="宋体" w:hAnsi="宋体" w:eastAsia="宋体" w:cs="宋体"/>
        </w:rPr>
        <w:t>公司应注意塑造品牌文化，加大推广品牌力度，提升自身品牌知名度与品牌影响力。</w:t>
      </w:r>
    </w:p>
    <w:p>
      <w:pPr>
        <w:widowControl/>
        <w:spacing w:line="360" w:lineRule="auto"/>
        <w:ind w:firstLine="420"/>
        <w:jc w:val="left"/>
        <w:rPr>
          <w:rFonts w:ascii="宋体" w:hAnsi="宋体" w:eastAsia="宋体" w:cs="宋体"/>
        </w:rPr>
      </w:pPr>
      <w:r>
        <w:rPr>
          <w:rFonts w:hint="eastAsia" w:ascii="宋体" w:hAnsi="宋体" w:eastAsia="宋体" w:cs="宋体"/>
        </w:rPr>
        <w:t>线下方面，针对消费频率高的门店，提高面积、聚合同类店铺、客流、客流量、顾客店铺的质感和购买力。</w:t>
      </w:r>
    </w:p>
    <w:p>
      <w:pPr>
        <w:widowControl/>
        <w:spacing w:line="360" w:lineRule="auto"/>
        <w:ind w:firstLine="420"/>
        <w:jc w:val="left"/>
        <w:rPr>
          <w:rFonts w:ascii="宋体" w:hAnsi="宋体" w:eastAsia="宋体" w:cs="宋体"/>
        </w:rPr>
      </w:pPr>
      <w:r>
        <w:rPr>
          <w:rFonts w:hint="eastAsia" w:ascii="宋体" w:hAnsi="宋体" w:eastAsia="宋体" w:cs="宋体"/>
        </w:rPr>
        <w:t>线上方面，综合企业产品与企业文化形成独特的品牌形象，通过网络媒介多途径宣传实现品牌推广，以拉动产品销量的提升，加强消费者对本公司文化与品牌的认同，增加客户粘性。做好售前、售中、售后服务，提高产品品牌口碑，提升公司品牌意识，获得消费者信任。</w:t>
      </w:r>
    </w:p>
    <w:p>
      <w:pPr>
        <w:widowControl/>
        <w:spacing w:line="360" w:lineRule="auto"/>
        <w:ind w:left="420" w:leftChars="200"/>
        <w:jc w:val="left"/>
        <w:rPr>
          <w:rFonts w:ascii="宋体" w:hAnsi="宋体" w:eastAsia="宋体" w:cs="宋体"/>
        </w:rPr>
      </w:pPr>
      <w:r>
        <w:rPr>
          <w:rFonts w:hint="eastAsia" w:ascii="宋体" w:hAnsi="宋体" w:eastAsia="宋体" w:cs="宋体"/>
        </w:rPr>
        <w:t>（4）拓宽产品品类策略</w:t>
      </w:r>
    </w:p>
    <w:p>
      <w:pPr>
        <w:widowControl/>
        <w:spacing w:line="360" w:lineRule="auto"/>
        <w:ind w:firstLine="420"/>
        <w:jc w:val="left"/>
        <w:rPr>
          <w:rFonts w:ascii="宋体" w:hAnsi="宋体" w:eastAsia="宋体" w:cs="宋体"/>
        </w:rPr>
      </w:pPr>
      <w:r>
        <w:rPr>
          <w:rFonts w:hint="eastAsia" w:ascii="宋体" w:hAnsi="宋体" w:eastAsia="宋体" w:cs="宋体"/>
        </w:rPr>
        <w:t>由调研结果可知，婴童产品重点品类集中于食品，其中婴幼儿服装市场规模也在逐年扩大，具有充足的发展潜力。因此企业要洞察行业内各品类的发展商机，拓宽新品类，适时考虑与现有婴童服装品牌达成战略合作，拓宽公司业务范围。</w:t>
      </w:r>
    </w:p>
    <w:p>
      <w:pPr>
        <w:spacing w:line="360" w:lineRule="auto"/>
        <w:outlineLvl w:val="2"/>
        <w:rPr>
          <w:rFonts w:ascii="宋体" w:hAnsi="宋体" w:eastAsia="宋体" w:cs="宋体"/>
          <w:szCs w:val="21"/>
        </w:rPr>
      </w:pPr>
      <w:bookmarkStart w:id="54" w:name="_Toc20308"/>
      <w:bookmarkStart w:id="55" w:name="_Toc10335"/>
      <w:r>
        <w:rPr>
          <w:rFonts w:hint="eastAsia" w:ascii="宋体" w:hAnsi="宋体" w:eastAsia="宋体" w:cs="宋体"/>
          <w:szCs w:val="21"/>
        </w:rPr>
        <w:t>3.2定价策略</w:t>
      </w:r>
      <w:bookmarkEnd w:id="54"/>
      <w:bookmarkEnd w:id="55"/>
    </w:p>
    <w:p>
      <w:pPr>
        <w:spacing w:line="360" w:lineRule="auto"/>
        <w:ind w:firstLine="420"/>
        <w:rPr>
          <w:rFonts w:ascii="宋体" w:hAnsi="宋体" w:eastAsia="宋体" w:cs="宋体"/>
        </w:rPr>
      </w:pPr>
      <w:r>
        <w:rPr>
          <w:rFonts w:hint="eastAsia" w:ascii="宋体" w:hAnsi="宋体" w:eastAsia="宋体" w:cs="宋体"/>
        </w:rPr>
        <w:t>为了能够实现企业的经营目标与一线婴童品牌的定位，从“妈妈第一选择”的目标出发，建议采用中高端产品的价格策略，主要策略如下：</w:t>
      </w:r>
    </w:p>
    <w:p>
      <w:pPr>
        <w:spacing w:line="360" w:lineRule="auto"/>
        <w:ind w:left="420" w:leftChars="200"/>
        <w:rPr>
          <w:rFonts w:ascii="宋体" w:hAnsi="宋体" w:eastAsia="宋体" w:cs="宋体"/>
        </w:rPr>
      </w:pPr>
      <w:r>
        <w:rPr>
          <w:rFonts w:hint="eastAsia" w:ascii="宋体" w:hAnsi="宋体" w:eastAsia="宋体" w:cs="宋体"/>
        </w:rPr>
        <w:t>（1）顾客差别定价</w:t>
      </w:r>
    </w:p>
    <w:p>
      <w:pPr>
        <w:spacing w:line="360" w:lineRule="auto"/>
        <w:ind w:firstLine="420"/>
        <w:rPr>
          <w:rFonts w:ascii="宋体" w:hAnsi="宋体" w:eastAsia="宋体" w:cs="宋体"/>
        </w:rPr>
      </w:pPr>
      <w:r>
        <w:rPr>
          <w:rFonts w:hint="eastAsia" w:ascii="宋体" w:hAnsi="宋体" w:eastAsia="宋体" w:cs="宋体"/>
        </w:rPr>
        <w:t>不同地区的经济水平以及消费水平会对好孩子食品（海南）有限公司的产品的需求数量以及价格接受范围造成差，所以应当采取顾客差别定价法。在经济相对不发达、消费水平较低的地区（如西北地区）采取相对较低的定价，在经济较发达、消费水平较高的地区采取相对较高的价格。这一定价策略，使不同层次消费水平的客户的需求都得到满足，并有助于扩大市场份额，提高市场竞争力，但同时也要注意避免引起消费者不满。</w:t>
      </w:r>
    </w:p>
    <w:p>
      <w:pPr>
        <w:spacing w:line="360" w:lineRule="auto"/>
        <w:ind w:left="420" w:leftChars="200"/>
        <w:rPr>
          <w:rFonts w:ascii="宋体" w:hAnsi="宋体" w:eastAsia="宋体" w:cs="宋体"/>
        </w:rPr>
      </w:pPr>
      <w:r>
        <w:rPr>
          <w:rFonts w:hint="eastAsia" w:ascii="宋体" w:hAnsi="宋体" w:eastAsia="宋体" w:cs="宋体"/>
        </w:rPr>
        <w:t>（2）折扣定价</w:t>
      </w:r>
    </w:p>
    <w:p>
      <w:pPr>
        <w:spacing w:line="360" w:lineRule="auto"/>
        <w:ind w:firstLine="420"/>
        <w:rPr>
          <w:rFonts w:ascii="宋体" w:hAnsi="宋体" w:eastAsia="宋体" w:cs="宋体"/>
        </w:rPr>
      </w:pPr>
      <w:r>
        <w:rPr>
          <w:rFonts w:hint="eastAsia" w:ascii="宋体" w:hAnsi="宋体" w:eastAsia="宋体" w:cs="宋体"/>
        </w:rPr>
        <w:t>一方面可以采用数量折扣，在一定时间内，购买商品若达到一定数量或金额，则按其总量给予一定折扣，这样可以鼓励顾客经常向本企业购买，成为可信赖的长期客户。还可以规定一次购买某种产品达到一定数量或购买多种产品达到一定金额，则给予折扣优惠，鼓励顾客大批量购买。另一方面可以采用现金折扣，对及时付清账款的代理商或经销商采用在规定时间内结清款项，则给予百分之几的现金折扣，这样有利于公司加速资金运转，减少收账费用和坏账。</w:t>
      </w:r>
    </w:p>
    <w:p>
      <w:pPr>
        <w:spacing w:line="360" w:lineRule="auto"/>
        <w:ind w:left="420" w:leftChars="200"/>
        <w:rPr>
          <w:rFonts w:ascii="宋体" w:hAnsi="宋体" w:eastAsia="宋体" w:cs="宋体"/>
        </w:rPr>
      </w:pPr>
      <w:r>
        <w:rPr>
          <w:rFonts w:hint="eastAsia" w:ascii="宋体" w:hAnsi="宋体" w:eastAsia="宋体" w:cs="宋体"/>
        </w:rPr>
        <w:t>（3）实时调整定价</w:t>
      </w:r>
    </w:p>
    <w:p>
      <w:pPr>
        <w:spacing w:line="360" w:lineRule="auto"/>
        <w:ind w:firstLine="420"/>
        <w:rPr>
          <w:rFonts w:ascii="宋体" w:hAnsi="宋体" w:eastAsia="宋体" w:cs="宋体"/>
        </w:rPr>
      </w:pPr>
      <w:r>
        <w:rPr>
          <w:rFonts w:hint="eastAsia" w:ascii="宋体" w:hAnsi="宋体" w:eastAsia="宋体" w:cs="宋体"/>
        </w:rPr>
        <w:t>由于食品产品的构成较复杂，且产品价格受到多方面因素的影响，所以企业要基于科学理论的基础，综合一定的实践经验，结合市场变化规律做出预判，灵活调整定价。在调整过程中，还要兼顾经销商与供货商的利益，将价格确定至消费者所能接受的最大化。</w:t>
      </w:r>
    </w:p>
    <w:p>
      <w:pPr>
        <w:spacing w:line="360" w:lineRule="auto"/>
        <w:outlineLvl w:val="2"/>
        <w:rPr>
          <w:rFonts w:ascii="宋体" w:hAnsi="宋体" w:eastAsia="宋体" w:cs="宋体"/>
          <w:szCs w:val="21"/>
        </w:rPr>
      </w:pPr>
      <w:bookmarkStart w:id="56" w:name="_Toc28400"/>
      <w:bookmarkStart w:id="57" w:name="_Toc11373"/>
      <w:r>
        <w:rPr>
          <w:rFonts w:hint="eastAsia" w:ascii="宋体" w:hAnsi="宋体" w:eastAsia="宋体" w:cs="宋体"/>
          <w:szCs w:val="21"/>
        </w:rPr>
        <w:t>3.3渠道策略</w:t>
      </w:r>
      <w:bookmarkEnd w:id="56"/>
      <w:bookmarkEnd w:id="57"/>
    </w:p>
    <w:p>
      <w:pPr>
        <w:spacing w:line="360" w:lineRule="auto"/>
        <w:ind w:firstLine="420" w:firstLineChars="200"/>
        <w:rPr>
          <w:rFonts w:ascii="宋体" w:hAnsi="宋体" w:eastAsia="宋体" w:cs="宋体"/>
        </w:rPr>
      </w:pPr>
      <w:r>
        <w:rPr>
          <w:rFonts w:hint="eastAsia" w:ascii="宋体" w:hAnsi="宋体" w:eastAsia="宋体" w:cs="宋体"/>
        </w:rPr>
        <w:t>好孩子目前销售渠道依赖于京东和淘宝等客户运营平台进行销售，通过抖音快手新媒体进行营销，短期来看将业务拓展定位于新媒体而非自营电商行业，显著降低了好孩子食品（海南）有限公司的运营成本，长期来看创造独立自营APP更有发展前景。同时，我们对消费者对带货人群依赖程度进行了调查，线下婴童店销售人员带货最为消费者认可，而线上领域专家推荐产品对消费者影响力较大，具体调查结果如图46所示：</w:t>
      </w:r>
    </w:p>
    <w:p>
      <w:pPr>
        <w:spacing w:line="360" w:lineRule="auto"/>
        <w:jc w:val="center"/>
        <w:rPr>
          <w:rFonts w:ascii="宋体" w:hAnsi="宋体" w:eastAsia="宋体" w:cs="宋体"/>
        </w:rPr>
      </w:pPr>
      <w:r>
        <w:rPr>
          <w:rFonts w:hint="eastAsia" w:ascii="宋体" w:hAnsi="宋体" w:eastAsia="宋体" w:cs="宋体"/>
        </w:rPr>
        <w:drawing>
          <wp:inline distT="0" distB="0" distL="0" distR="0">
            <wp:extent cx="2874645" cy="1769745"/>
            <wp:effectExtent l="5080" t="4445" r="15875" b="1651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图46 消费者对带货人群依赖程度占比</w:t>
      </w:r>
    </w:p>
    <w:p>
      <w:pPr>
        <w:spacing w:line="360" w:lineRule="auto"/>
        <w:ind w:firstLine="420" w:firstLineChars="200"/>
        <w:rPr>
          <w:rFonts w:ascii="宋体" w:hAnsi="宋体" w:eastAsia="宋体" w:cs="宋体"/>
        </w:rPr>
      </w:pPr>
      <w:r>
        <w:rPr>
          <w:rFonts w:hint="eastAsia" w:ascii="宋体" w:hAnsi="宋体" w:eastAsia="宋体" w:cs="宋体"/>
        </w:rPr>
        <w:t>作为一家以客户为中心的企业，母婴行业的企业需要与时俱进，在销售渠道上不断创新，产生新的思路，若想成为真正的快消品牌，创新性营销策略对于企业来说也是必不可少的根据以上调研结果，我们提出了具体建议如下：</w:t>
      </w:r>
    </w:p>
    <w:p>
      <w:pPr>
        <w:numPr>
          <w:ilvl w:val="0"/>
          <w:numId w:val="9"/>
        </w:numPr>
        <w:spacing w:line="360" w:lineRule="auto"/>
        <w:ind w:firstLine="420" w:firstLineChars="200"/>
        <w:rPr>
          <w:rFonts w:ascii="宋体" w:hAnsi="宋体" w:eastAsia="宋体" w:cs="宋体"/>
        </w:rPr>
      </w:pPr>
      <w:r>
        <w:rPr>
          <w:rFonts w:hint="eastAsia" w:ascii="宋体" w:hAnsi="宋体" w:eastAsia="宋体" w:cs="宋体"/>
        </w:rPr>
        <w:t>强化社交平台营销</w:t>
      </w:r>
    </w:p>
    <w:p>
      <w:pPr>
        <w:spacing w:line="360" w:lineRule="auto"/>
        <w:ind w:firstLine="420" w:firstLineChars="200"/>
        <w:rPr>
          <w:rFonts w:ascii="宋体" w:hAnsi="宋体" w:eastAsia="宋体" w:cs="宋体"/>
        </w:rPr>
      </w:pPr>
      <w:r>
        <w:rPr>
          <w:rFonts w:hint="eastAsia" w:ascii="宋体" w:hAnsi="宋体" w:eastAsia="宋体" w:cs="宋体"/>
        </w:rPr>
        <w:t>除了抖音、快手直播营销，目前小红书、微信社群微商、B站等平台营销也是迎着互联网＋浪潮兴起的一种新的营销渠道，多种社交平台营销，没有地域、时间等严格限制，用户可以根据需要关注自己所感兴趣的话题，做到一对一精准营销。目前，微信抖音等平台营销功能丰富多样，比如网络会员、预约、抽奖或者是进行一些防伪调查，以此来满足商家或者消费者的需求。</w:t>
      </w:r>
    </w:p>
    <w:p>
      <w:pPr>
        <w:spacing w:line="360" w:lineRule="auto"/>
        <w:ind w:firstLine="420" w:firstLineChars="200"/>
        <w:rPr>
          <w:rFonts w:ascii="宋体" w:hAnsi="宋体" w:eastAsia="宋体" w:cs="宋体"/>
        </w:rPr>
      </w:pPr>
      <w:r>
        <w:rPr>
          <w:rFonts w:hint="eastAsia" w:ascii="宋体" w:hAnsi="宋体" w:eastAsia="宋体" w:cs="宋体"/>
        </w:rPr>
        <w:t>（2）打造个性化营销</w:t>
      </w:r>
    </w:p>
    <w:p>
      <w:pPr>
        <w:spacing w:line="360" w:lineRule="auto"/>
        <w:ind w:firstLine="420" w:firstLineChars="200"/>
        <w:rPr>
          <w:rFonts w:ascii="宋体" w:hAnsi="宋体" w:eastAsia="宋体" w:cs="宋体"/>
        </w:rPr>
      </w:pPr>
      <w:r>
        <w:rPr>
          <w:rFonts w:hint="eastAsia" w:ascii="宋体" w:hAnsi="宋体" w:eastAsia="宋体" w:cs="宋体"/>
        </w:rPr>
        <w:t>例如，专家式科学营销，属于一对一的有体验式营销。针对90后消费群体的自身消费特点，可以打造个性化营销满足消费者需要，定期组织开展线上线下的妇幼科健康课程，支持线上观看和回放，以提升品牌知名度和信誉度，大大增强消费者对产品的忠诚和依赖，赢得消费者的青睐。</w:t>
      </w:r>
    </w:p>
    <w:p>
      <w:pPr>
        <w:numPr>
          <w:ilvl w:val="0"/>
          <w:numId w:val="10"/>
        </w:numPr>
        <w:spacing w:line="360" w:lineRule="auto"/>
        <w:ind w:firstLine="420" w:firstLineChars="200"/>
        <w:rPr>
          <w:rFonts w:ascii="宋体" w:hAnsi="宋体" w:eastAsia="宋体" w:cs="宋体"/>
        </w:rPr>
      </w:pPr>
      <w:r>
        <w:rPr>
          <w:rFonts w:hint="eastAsia" w:ascii="宋体" w:hAnsi="宋体" w:eastAsia="宋体" w:cs="宋体"/>
          <w:lang w:val="en-US" w:eastAsia="zh-CN"/>
        </w:rPr>
        <w:t>实行</w:t>
      </w:r>
      <w:r>
        <w:rPr>
          <w:rFonts w:hint="eastAsia" w:ascii="宋体" w:hAnsi="宋体" w:eastAsia="宋体" w:cs="宋体"/>
        </w:rPr>
        <w:t>公共合作营销</w:t>
      </w:r>
    </w:p>
    <w:p>
      <w:pPr>
        <w:spacing w:line="360" w:lineRule="auto"/>
        <w:ind w:firstLine="420" w:firstLineChars="200"/>
        <w:rPr>
          <w:rFonts w:ascii="宋体" w:hAnsi="宋体" w:eastAsia="宋体" w:cs="宋体"/>
        </w:rPr>
      </w:pPr>
      <w:r>
        <w:rPr>
          <w:rFonts w:hint="eastAsia" w:ascii="宋体" w:hAnsi="宋体" w:eastAsia="宋体" w:cs="宋体"/>
        </w:rPr>
        <w:t>好孩子食品（海南）有限公司可以与当地民办及公办的妇产医院联合举办一些亲子活动、举办爱心活动、赞助等活动。在拓展营销的同时也能提高形象，树立良好的品牌企业形象，在激烈的市场竞争打造自身的核心竞争力。公立产科医院的医生在当地已树立一定口碑，这些医生一般具有非常基础的临床经验和营养学经验，能指导一线员工，更能帮助选择产品、推广产品、进行消费者教育，对于公司而言，这正是扩宽渠道的好机会。</w:t>
      </w:r>
    </w:p>
    <w:p>
      <w:pPr>
        <w:spacing w:line="360" w:lineRule="auto"/>
        <w:outlineLvl w:val="2"/>
        <w:rPr>
          <w:rFonts w:ascii="宋体" w:hAnsi="宋体" w:eastAsia="宋体" w:cs="宋体"/>
          <w:szCs w:val="21"/>
        </w:rPr>
      </w:pPr>
      <w:bookmarkStart w:id="58" w:name="_Toc19395"/>
      <w:bookmarkStart w:id="59" w:name="_Toc18673"/>
      <w:r>
        <w:rPr>
          <w:rFonts w:hint="eastAsia" w:ascii="宋体" w:hAnsi="宋体" w:eastAsia="宋体" w:cs="宋体"/>
          <w:szCs w:val="21"/>
        </w:rPr>
        <w:t>3.4促销策略</w:t>
      </w:r>
      <w:bookmarkEnd w:id="58"/>
      <w:bookmarkEnd w:id="59"/>
    </w:p>
    <w:p>
      <w:pPr>
        <w:spacing w:line="360" w:lineRule="auto"/>
        <w:ind w:firstLine="420" w:firstLineChars="200"/>
        <w:rPr>
          <w:rFonts w:ascii="宋体" w:hAnsi="宋体" w:eastAsia="宋体" w:cs="宋体"/>
        </w:rPr>
      </w:pPr>
      <w:r>
        <w:rPr>
          <w:rFonts w:hint="eastAsia" w:ascii="宋体" w:hAnsi="宋体" w:eastAsia="宋体" w:cs="宋体"/>
        </w:rPr>
        <w:t>对于新兴的新媒体渠道，要充分发挥公司的个人优势，充分利用每位导购的主动性，利用他们的社交账号来宣传产品，同时深化公司的管理账号做好公关工作。</w:t>
      </w:r>
    </w:p>
    <w:p>
      <w:pPr>
        <w:spacing w:line="360" w:lineRule="auto"/>
        <w:ind w:firstLine="420" w:firstLineChars="200"/>
        <w:rPr>
          <w:rFonts w:ascii="宋体" w:hAnsi="宋体" w:eastAsia="宋体" w:cs="宋体"/>
        </w:rPr>
      </w:pPr>
      <w:r>
        <w:rPr>
          <w:rFonts w:hint="eastAsia" w:ascii="宋体" w:hAnsi="宋体" w:eastAsia="宋体" w:cs="宋体"/>
        </w:rPr>
        <w:t>（1）鼓励销售人员做社交促销</w:t>
      </w:r>
    </w:p>
    <w:p>
      <w:pPr>
        <w:spacing w:line="360" w:lineRule="auto"/>
        <w:ind w:firstLine="420" w:firstLineChars="200"/>
        <w:rPr>
          <w:rFonts w:ascii="宋体" w:hAnsi="宋体" w:eastAsia="宋体" w:cs="宋体"/>
        </w:rPr>
      </w:pPr>
      <w:r>
        <w:rPr>
          <w:rFonts w:hint="eastAsia" w:ascii="宋体" w:hAnsi="宋体" w:eastAsia="宋体" w:cs="宋体"/>
        </w:rPr>
        <w:t>公司可以聘请导购员，要充分调动所有导购员，注册抖音、微博等账号，通过微信、微博、抖音、小红书等平台，增加一定时间内的产品曝光度，结合多种自媒体的广告手段进行产品转化。公司应聘请专业培训师对员工进行基础知识和应用技能培训，并设立特殊的奖励机制，促进社交媒体用于产品推广，实现流量转化。</w:t>
      </w:r>
    </w:p>
    <w:p>
      <w:pPr>
        <w:spacing w:line="360" w:lineRule="auto"/>
        <w:ind w:firstLine="420" w:firstLineChars="200"/>
        <w:rPr>
          <w:rFonts w:ascii="宋体" w:hAnsi="宋体" w:eastAsia="宋体" w:cs="宋体"/>
        </w:rPr>
      </w:pPr>
      <w:r>
        <w:rPr>
          <w:rFonts w:hint="eastAsia" w:ascii="宋体" w:hAnsi="宋体" w:eastAsia="宋体" w:cs="宋体"/>
        </w:rPr>
        <w:t>（2）深化公司的公众号管理</w:t>
      </w:r>
    </w:p>
    <w:p>
      <w:pPr>
        <w:spacing w:line="360" w:lineRule="auto"/>
        <w:ind w:firstLine="420" w:firstLineChars="200"/>
        <w:rPr>
          <w:rFonts w:ascii="宋体" w:hAnsi="宋体" w:eastAsia="宋体" w:cs="宋体"/>
        </w:rPr>
      </w:pPr>
      <w:r>
        <w:rPr>
          <w:rFonts w:hint="eastAsia" w:ascii="宋体" w:hAnsi="宋体" w:eastAsia="宋体" w:cs="宋体"/>
        </w:rPr>
        <w:t>随着互联网的稳步发展，尤其是年轻人现在利用他们碎片化的时间通过社交媒体搜索和分享信息，因此订阅号和服务号都在不断地博取人们的注意力。公司应建立自营公众号，并进行细致的内容营销，有节奏的更新时事，分享身边的事情，分享成功的育儿经验，科学喂养，避免母婴产品选择走弯路的内容一一盲目模仿营销母婴行业。深化公众号管理，从内容细节到消费者心理，产生共鸣，快速吸引粉丝，然后引流定向到线下购买或链接到公司电商平台选择购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eastAsia="宋体" w:cs="宋体"/>
        </w:rPr>
      </w:pPr>
      <w:r>
        <w:rPr>
          <w:rFonts w:hint="eastAsia" w:ascii="宋体" w:hAnsi="宋体" w:eastAsia="宋体" w:cs="宋体"/>
        </w:rPr>
        <w:t>（3）加强与第三方的联合促销</w:t>
      </w:r>
    </w:p>
    <w:p>
      <w:pPr>
        <w:spacing w:line="360" w:lineRule="auto"/>
        <w:ind w:firstLine="420" w:firstLineChars="200"/>
        <w:rPr>
          <w:rFonts w:ascii="宋体" w:hAnsi="宋体" w:eastAsia="宋体" w:cs="宋体"/>
        </w:rPr>
      </w:pPr>
      <w:r>
        <w:rPr>
          <w:rFonts w:hint="eastAsia" w:ascii="宋体" w:hAnsi="宋体" w:eastAsia="宋体" w:cs="宋体"/>
        </w:rPr>
        <w:t>互联网的发展不断改变着现代物流模式，快递己经走进千家万户。每次休息日都是菜鸟驿站快递的高峰期，这也给我们带来了新的广告机会。我们可以和菜鸟联合促销。针对于取快递的客户，可扫描二维码，加入企业会员，加入广告群。每天都可以享受限时折扣和抽奖等促销活动，当成为公司会员的消费者发快递时，可享受一定比例的折扣。</w:t>
      </w:r>
    </w:p>
    <w:p>
      <w:pPr>
        <w:spacing w:line="360" w:lineRule="auto"/>
        <w:ind w:firstLine="420" w:firstLineChars="200"/>
        <w:rPr>
          <w:rFonts w:hint="eastAsia" w:ascii="宋体" w:hAnsi="宋体" w:eastAsia="宋体" w:cs="宋体"/>
          <w:lang w:val="en-US" w:eastAsia="zh-CN"/>
        </w:rPr>
      </w:pPr>
      <w:r>
        <w:rPr>
          <w:rFonts w:hint="eastAsia" w:ascii="宋体" w:hAnsi="宋体" w:eastAsia="宋体" w:cs="宋体"/>
        </w:rPr>
        <w:t>（4）</w:t>
      </w:r>
      <w:r>
        <w:rPr>
          <w:rFonts w:hint="eastAsia" w:ascii="宋体" w:hAnsi="宋体" w:eastAsia="宋体" w:cs="宋体"/>
          <w:lang w:val="en-US" w:eastAsia="zh-CN"/>
        </w:rPr>
        <w:t>推进广告促销</w:t>
      </w:r>
    </w:p>
    <w:p>
      <w:pPr>
        <w:spacing w:line="360" w:lineRule="auto"/>
        <w:ind w:firstLine="420" w:firstLineChars="200"/>
        <w:rPr>
          <w:rFonts w:ascii="宋体" w:hAnsi="宋体" w:eastAsia="宋体" w:cs="宋体"/>
        </w:rPr>
      </w:pPr>
      <w:r>
        <w:rPr>
          <w:rFonts w:hint="eastAsia" w:ascii="宋体" w:hAnsi="宋体" w:eastAsia="宋体" w:cs="宋体"/>
        </w:rPr>
        <w:t>广告促销可以通过大众传媒，将产品的设计理念、品质与性能、服务特点等方面展现给广大消费者，使得消费者对产品印象深刻，增加产品知名度，起到刺激消费者消费的作用。我们针对广告吸引消费者的主要因素进行了调研，调研结果如图47所示：</w:t>
      </w:r>
    </w:p>
    <w:p>
      <w:pPr>
        <w:spacing w:line="360" w:lineRule="auto"/>
        <w:ind w:firstLine="420" w:firstLineChars="200"/>
        <w:jc w:val="center"/>
        <w:rPr>
          <w:rFonts w:ascii="宋体" w:hAnsi="宋体" w:eastAsia="宋体" w:cs="宋体"/>
        </w:rPr>
      </w:pPr>
      <w:r>
        <w:rPr>
          <w:rFonts w:hint="eastAsia" w:ascii="宋体" w:hAnsi="宋体" w:eastAsia="宋体" w:cs="宋体"/>
        </w:rPr>
        <w:drawing>
          <wp:inline distT="0" distB="0" distL="0" distR="0">
            <wp:extent cx="4900930" cy="2286000"/>
            <wp:effectExtent l="4445" t="4445" r="9525" b="508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pacing w:line="360" w:lineRule="auto"/>
        <w:ind w:firstLine="420" w:firstLineChars="200"/>
        <w:jc w:val="center"/>
        <w:rPr>
          <w:rFonts w:ascii="宋体" w:hAnsi="宋体" w:eastAsia="宋体" w:cs="宋体"/>
        </w:rPr>
      </w:pPr>
      <w:r>
        <w:rPr>
          <w:rFonts w:hint="eastAsia" w:ascii="宋体" w:hAnsi="宋体" w:eastAsia="宋体" w:cs="宋体"/>
        </w:rPr>
        <w:t>图47 广告吸引顾客的主要因素占比</w:t>
      </w:r>
    </w:p>
    <w:p>
      <w:pPr>
        <w:spacing w:line="360" w:lineRule="auto"/>
        <w:ind w:firstLine="420" w:firstLineChars="200"/>
        <w:rPr>
          <w:rFonts w:ascii="宋体" w:hAnsi="宋体" w:eastAsia="宋体" w:cs="宋体"/>
        </w:rPr>
      </w:pPr>
      <w:r>
        <w:rPr>
          <w:rFonts w:hint="eastAsia" w:ascii="宋体" w:hAnsi="宋体" w:eastAsia="宋体" w:cs="宋体"/>
        </w:rPr>
        <w:t>由上述结果可以看出，首先广告更注重质量而非数量，其次更注重内容而非修饰，企业应重点考虑推广活动/话题的质量与吸引力，其次要注重广告投放平台对消费者的吸引力。</w:t>
      </w:r>
    </w:p>
    <w:p>
      <w:pPr>
        <w:spacing w:line="360" w:lineRule="auto"/>
        <w:ind w:firstLine="420" w:firstLineChars="200"/>
        <w:rPr>
          <w:rFonts w:ascii="宋体" w:hAnsi="宋体" w:eastAsia="宋体" w:cs="宋体"/>
        </w:rPr>
      </w:pPr>
      <w:r>
        <w:rPr>
          <w:rFonts w:hint="eastAsia" w:ascii="宋体" w:hAnsi="宋体" w:eastAsia="宋体" w:cs="宋体"/>
        </w:rPr>
        <w:t>公司应对主要客户群体投入更多的关注，适当地缩小广告投放范围。例如，在高端小区购买广告位，在实体店门口设立醒目广告牌，将店铺活动、店铺特色进行宣传，获取消费者的关注度，提高其购买欲望，激发潜在购买力。</w:t>
      </w:r>
      <w:bookmarkStart w:id="60" w:name="_Toc27464"/>
    </w:p>
    <w:p>
      <w:pPr>
        <w:spacing w:line="360" w:lineRule="auto"/>
        <w:outlineLvl w:val="1"/>
        <w:rPr>
          <w:rFonts w:ascii="宋体" w:hAnsi="宋体" w:eastAsia="宋体" w:cs="宋体"/>
          <w:sz w:val="24"/>
        </w:rPr>
      </w:pPr>
      <w:bookmarkStart w:id="61" w:name="_Toc9291"/>
      <w:r>
        <w:rPr>
          <w:rFonts w:hint="eastAsia" w:ascii="宋体" w:hAnsi="宋体" w:eastAsia="宋体" w:cs="宋体"/>
          <w:sz w:val="24"/>
        </w:rPr>
        <w:t>4.用户联盟营销战略模式</w:t>
      </w:r>
      <w:bookmarkEnd w:id="60"/>
      <w:bookmarkEnd w:id="61"/>
    </w:p>
    <w:p>
      <w:pPr>
        <w:spacing w:line="360" w:lineRule="auto"/>
        <w:ind w:firstLine="420" w:firstLineChars="200"/>
        <w:rPr>
          <w:rFonts w:ascii="宋体" w:hAnsi="宋体" w:eastAsia="宋体" w:cs="宋体"/>
        </w:rPr>
      </w:pPr>
      <w:r>
        <w:rPr>
          <w:rFonts w:hint="eastAsia" w:ascii="宋体" w:hAnsi="宋体" w:eastAsia="宋体" w:cs="宋体"/>
        </w:rPr>
        <w:t>好孩子食品有限公司若想实现持续发力，很重要的一点便是与消费者之间建立牢固的关系，并能够完成品牌的传播与扩散，通过研究我们提出用户联盟的营销战略模式以供参考。</w:t>
      </w:r>
    </w:p>
    <w:p>
      <w:pPr>
        <w:spacing w:line="360" w:lineRule="auto"/>
        <w:outlineLvl w:val="2"/>
        <w:rPr>
          <w:rFonts w:ascii="宋体" w:hAnsi="宋体" w:eastAsia="宋体" w:cs="宋体"/>
          <w:szCs w:val="21"/>
        </w:rPr>
      </w:pPr>
      <w:bookmarkStart w:id="62" w:name="_Toc28650"/>
      <w:bookmarkStart w:id="63" w:name="_Toc16059"/>
      <w:r>
        <w:rPr>
          <w:rFonts w:hint="eastAsia" w:ascii="宋体" w:hAnsi="宋体" w:eastAsia="宋体" w:cs="宋体"/>
          <w:szCs w:val="21"/>
        </w:rPr>
        <w:t>4.1用户联盟简介</w:t>
      </w:r>
      <w:bookmarkEnd w:id="62"/>
      <w:bookmarkEnd w:id="63"/>
    </w:p>
    <w:p>
      <w:pPr>
        <w:spacing w:line="360" w:lineRule="auto"/>
        <w:ind w:firstLine="420" w:firstLineChars="200"/>
        <w:rPr>
          <w:rFonts w:ascii="宋体" w:hAnsi="宋体" w:eastAsia="宋体" w:cs="宋体"/>
        </w:rPr>
      </w:pPr>
      <w:r>
        <w:rPr>
          <w:rFonts w:hint="eastAsia" w:ascii="宋体" w:hAnsi="宋体" w:eastAsia="宋体" w:cs="宋体"/>
        </w:rPr>
        <w:t>用户联盟的创立是为了在品牌管理中建立牢固的品牌关系。从本质上看，用户联盟本身强调的是关系的建立和维护，可以让企业第一时间了解消费者的需求和行业未来发展趋势，以较低的成本与消费者建立积极的品牌关系，完成价值共创。舒尔茨提出的4Rs营销理论是关系范式下的营销理论，指数字营销时代品牌通过数字技术和平台与消费者建立关联，倾听消费者需求并提高市场反应速度，通过互动和沟通与消费者建立稳固的关系并获得回报。在数字平台上，用户联盟可以在每一个环节发挥作用，通过多种渠道以更低成本为品牌整合营销传播赋能。</w:t>
      </w:r>
    </w:p>
    <w:p>
      <w:pPr>
        <w:spacing w:line="360" w:lineRule="auto"/>
        <w:outlineLvl w:val="2"/>
        <w:rPr>
          <w:rFonts w:ascii="宋体" w:hAnsi="宋体" w:eastAsia="宋体" w:cs="宋体"/>
          <w:szCs w:val="21"/>
        </w:rPr>
      </w:pPr>
      <w:bookmarkStart w:id="64" w:name="_Toc26847"/>
      <w:bookmarkStart w:id="65" w:name="_Toc27745"/>
      <w:r>
        <w:rPr>
          <w:rFonts w:hint="eastAsia" w:ascii="宋体" w:hAnsi="宋体" w:eastAsia="宋体" w:cs="宋体"/>
          <w:szCs w:val="21"/>
        </w:rPr>
        <w:t>4.2用户联盟的合作策略</w:t>
      </w:r>
      <w:bookmarkEnd w:id="64"/>
      <w:bookmarkEnd w:id="65"/>
    </w:p>
    <w:p>
      <w:pPr>
        <w:spacing w:line="360" w:lineRule="auto"/>
        <w:ind w:firstLine="420" w:firstLineChars="200"/>
        <w:rPr>
          <w:rFonts w:ascii="宋体" w:hAnsi="宋体" w:eastAsia="宋体" w:cs="宋体"/>
        </w:rPr>
      </w:pPr>
      <w:r>
        <w:rPr>
          <w:rFonts w:hint="eastAsia" w:ascii="宋体" w:hAnsi="宋体" w:eastAsia="宋体" w:cs="宋体"/>
        </w:rPr>
        <w:t>（1）数字化战略合作</w:t>
      </w:r>
    </w:p>
    <w:p>
      <w:pPr>
        <w:spacing w:line="360" w:lineRule="auto"/>
        <w:ind w:firstLine="420" w:firstLineChars="200"/>
        <w:rPr>
          <w:rFonts w:ascii="宋体" w:hAnsi="宋体" w:eastAsia="宋体" w:cs="宋体"/>
        </w:rPr>
      </w:pPr>
      <w:r>
        <w:rPr>
          <w:rFonts w:hint="eastAsia" w:ascii="宋体" w:hAnsi="宋体" w:eastAsia="宋体" w:cs="宋体"/>
        </w:rPr>
        <w:t>数字化信息合作是互联网时代的必然趋势，打通用户数据，才能更好的推进业务发展。随着婴幼儿配方奶粉行业智能化的发展，母婴行业越来越依赖医院和月子会所，而以月子会所为例，母婴行业正在高速发展信息化程度，月子会所的服务逐渐成熟，新技术手段的运作，奶粉的发展与月子会所产业的流动紧密结合，企业可以从服务的发展中受益，发展更高端产品。</w:t>
      </w:r>
    </w:p>
    <w:p>
      <w:pPr>
        <w:spacing w:line="360" w:lineRule="auto"/>
        <w:ind w:firstLine="420" w:firstLineChars="200"/>
        <w:rPr>
          <w:rFonts w:ascii="宋体" w:hAnsi="宋体" w:eastAsia="宋体" w:cs="宋体"/>
        </w:rPr>
      </w:pPr>
      <w:r>
        <w:rPr>
          <w:rFonts w:hint="eastAsia" w:ascii="宋体" w:hAnsi="宋体" w:eastAsia="宋体" w:cs="宋体"/>
        </w:rPr>
        <w:t>（2）全国性赞助合作</w:t>
      </w:r>
    </w:p>
    <w:p>
      <w:pPr>
        <w:spacing w:line="360" w:lineRule="auto"/>
        <w:ind w:firstLine="420" w:firstLineChars="200"/>
        <w:rPr>
          <w:rFonts w:ascii="宋体" w:hAnsi="宋体" w:eastAsia="宋体" w:cs="宋体"/>
        </w:rPr>
      </w:pPr>
      <w:r>
        <w:rPr>
          <w:rFonts w:hint="eastAsia" w:ascii="宋体" w:hAnsi="宋体" w:eastAsia="宋体" w:cs="宋体"/>
        </w:rPr>
        <w:t>公司可以通过引进先进的生成设备，研发科学的符合国内宝宝的营养配合，来满足国内母婴市场需求，从而提升品牌形象，并以此国内一线品牌靠拢，并且公司可以考虑与国家公益性组织合作参与有社会性意义的项目，例如通过与中华医学会儿童健康辅助委员会的专科医疗支持合作等，积极探索促进婴儿发育的科学方法，并与所有社区支持的协会合作，共同提供婴儿在成长中的营养保障。</w:t>
      </w:r>
    </w:p>
    <w:p>
      <w:pPr>
        <w:spacing w:line="360" w:lineRule="auto"/>
        <w:ind w:firstLine="420" w:firstLineChars="200"/>
        <w:rPr>
          <w:rFonts w:ascii="宋体" w:hAnsi="宋体" w:eastAsia="宋体" w:cs="宋体"/>
        </w:rPr>
      </w:pPr>
      <w:r>
        <w:rPr>
          <w:rFonts w:hint="eastAsia" w:ascii="宋体" w:hAnsi="宋体" w:eastAsia="宋体" w:cs="宋体"/>
        </w:rPr>
        <w:t>（3）泛同行业联盟</w:t>
      </w:r>
    </w:p>
    <w:p>
      <w:pPr>
        <w:spacing w:line="360" w:lineRule="auto"/>
        <w:ind w:firstLine="420" w:firstLineChars="200"/>
        <w:rPr>
          <w:rFonts w:hint="eastAsia" w:ascii="宋体" w:hAnsi="宋体" w:eastAsia="宋体" w:cs="宋体"/>
        </w:rPr>
        <w:sectPr>
          <w:headerReference r:id="rId15"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rPr>
        <w:t>产孕行业和儿童医务行业与母婴行业、婴幼儿配方奶粉行业存在特殊联系和共性，非常适合与用户联盟合作。在育儿行业和儿科医疗行业，目标群体的统一是合作的基础，利用这个基础，才能实现良好的用户合作。</w:t>
      </w:r>
    </w:p>
    <w:p>
      <w:pPr>
        <w:spacing w:line="360" w:lineRule="auto"/>
        <w:rPr>
          <w:rFonts w:ascii="宋体" w:hAnsi="宋体" w:eastAsia="宋体" w:cs="宋体"/>
          <w:sz w:val="28"/>
          <w:szCs w:val="28"/>
        </w:rPr>
      </w:pPr>
      <w:r>
        <w:rPr>
          <w:rFonts w:hint="eastAsia" w:ascii="宋体" w:hAnsi="宋体" w:eastAsia="宋体" w:cs="宋体"/>
          <w:sz w:val="28"/>
          <w:szCs w:val="28"/>
        </w:rPr>
        <w:t>六、可行性分析</w:t>
      </w:r>
    </w:p>
    <w:p>
      <w:pPr>
        <w:spacing w:line="360" w:lineRule="auto"/>
        <w:ind w:firstLine="420" w:firstLineChars="200"/>
        <w:rPr>
          <w:rFonts w:ascii="宋体" w:hAnsi="宋体" w:eastAsia="宋体" w:cs="宋体"/>
        </w:rPr>
      </w:pPr>
      <w:r>
        <w:rPr>
          <w:rFonts w:hint="eastAsia" w:ascii="宋体" w:hAnsi="宋体" w:eastAsia="宋体" w:cs="宋体"/>
        </w:rPr>
        <w:t>对于企业</w:t>
      </w:r>
      <w:r>
        <w:rPr>
          <w:rFonts w:hint="eastAsia" w:ascii="宋体" w:hAnsi="宋体" w:eastAsia="宋体" w:cs="宋体"/>
          <w:szCs w:val="21"/>
        </w:rPr>
        <w:t>来说，其发展阶段可以大致分为：初创期、成长期、稳定期和衰退期。当企业处在不同的发展阶段时，往往有不同的定位和改变，来契合企业发展。好孩子食品成立不久，处于初创期，接下来从初创期的角度，通</w:t>
      </w:r>
      <w:r>
        <w:rPr>
          <w:rFonts w:hint="eastAsia" w:ascii="宋体" w:hAnsi="宋体" w:eastAsia="宋体" w:cs="宋体"/>
        </w:rPr>
        <w:t>过资源，时间，成本等维度进行市场可行性分析，如图48所示：</w:t>
      </w:r>
    </w:p>
    <w:p>
      <w:pPr>
        <w:spacing w:line="360" w:lineRule="auto"/>
        <w:jc w:val="center"/>
        <w:rPr>
          <w:rFonts w:ascii="宋体" w:hAnsi="宋体" w:eastAsia="宋体" w:cs="宋体"/>
          <w:sz w:val="24"/>
        </w:rPr>
      </w:pPr>
      <w:r>
        <w:rPr>
          <w:rFonts w:hint="eastAsia" w:ascii="宋体" w:hAnsi="宋体" w:eastAsia="宋体" w:cs="宋体"/>
          <w:sz w:val="24"/>
        </w:rPr>
        <w:drawing>
          <wp:inline distT="0" distB="0" distL="114300" distR="114300">
            <wp:extent cx="4044950" cy="1842770"/>
            <wp:effectExtent l="9525" t="9525" r="12700" b="1460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64"/>
                    <a:stretch>
                      <a:fillRect/>
                    </a:stretch>
                  </pic:blipFill>
                  <pic:spPr>
                    <a:xfrm>
                      <a:off x="0" y="0"/>
                      <a:ext cx="4044950" cy="1842770"/>
                    </a:xfrm>
                    <a:prstGeom prst="rect">
                      <a:avLst/>
                    </a:prstGeom>
                    <a:noFill/>
                    <a:ln w="9525">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图48  企业发展周期</w:t>
      </w:r>
    </w:p>
    <w:p>
      <w:pPr>
        <w:spacing w:line="360" w:lineRule="auto"/>
        <w:outlineLvl w:val="1"/>
        <w:rPr>
          <w:rFonts w:ascii="宋体" w:hAnsi="宋体" w:eastAsia="宋体" w:cs="宋体"/>
          <w:sz w:val="24"/>
        </w:rPr>
      </w:pPr>
      <w:bookmarkStart w:id="66" w:name="_Toc9531"/>
      <w:r>
        <w:rPr>
          <w:rFonts w:hint="eastAsia" w:ascii="宋体" w:hAnsi="宋体" w:eastAsia="宋体" w:cs="宋体"/>
          <w:sz w:val="24"/>
        </w:rPr>
        <w:t>1.资源维度</w:t>
      </w:r>
      <w:bookmarkEnd w:id="66"/>
    </w:p>
    <w:p>
      <w:pPr>
        <w:spacing w:line="360" w:lineRule="auto"/>
        <w:ind w:firstLine="420" w:firstLineChars="200"/>
        <w:rPr>
          <w:rFonts w:ascii="宋体" w:hAnsi="宋体" w:eastAsia="宋体" w:cs="宋体"/>
        </w:rPr>
      </w:pPr>
      <w:r>
        <w:rPr>
          <w:rFonts w:hint="eastAsia" w:ascii="宋体" w:hAnsi="宋体" w:eastAsia="宋体" w:cs="宋体"/>
        </w:rPr>
        <w:t>随着人均可支配收入的增加以及母婴童家庭消费能力的提升，中国婴童市场持续增长，2022年中国婴童规模达55833亿元，预计未来中国婴童市场仍保持稳定增长趋势，到2024年中国婴童市场规模将达到76299亿元。</w:t>
      </w:r>
    </w:p>
    <w:p>
      <w:pPr>
        <w:spacing w:line="360" w:lineRule="auto"/>
        <w:ind w:firstLine="420" w:firstLineChars="200"/>
        <w:rPr>
          <w:rFonts w:ascii="宋体" w:hAnsi="宋体" w:eastAsia="宋体" w:cs="宋体"/>
        </w:rPr>
      </w:pPr>
      <w:r>
        <w:rPr>
          <w:rFonts w:hint="eastAsia" w:ascii="宋体" w:hAnsi="宋体" w:eastAsia="宋体" w:cs="宋体"/>
        </w:rPr>
        <w:t>随着互联网信息发展，年轻一代父母的育儿观念和消费观念都在转变升级，逐渐从注重吃、穿、用的产品消费升级到了育儿产品及服务消费，未来将在育儿产品及服务方面的投入越来越多。随之服务类婴童产品的需求将快速增长，并推动整个婴童行业的裂变，更加注重服务和体验的婴童电商将迎来迅猛发展。线上电商和内容电商稳步攀升成为品牌主和消费者共同青睐的渠道，销售渠道增加。</w:t>
      </w:r>
    </w:p>
    <w:p>
      <w:pPr>
        <w:spacing w:line="360" w:lineRule="auto"/>
        <w:ind w:firstLine="420" w:firstLineChars="200"/>
        <w:rPr>
          <w:rFonts w:ascii="宋体" w:hAnsi="宋体" w:eastAsia="宋体" w:cs="宋体"/>
        </w:rPr>
      </w:pPr>
      <w:r>
        <w:rPr>
          <w:rFonts w:hint="eastAsia" w:ascii="宋体" w:hAnsi="宋体" w:eastAsia="宋体" w:cs="宋体"/>
        </w:rPr>
        <w:t>居民可支配收入稳步增长，驱动婴童消费升级，婴童家庭月均育儿花销占家庭月收入近三成，育儿支出处于较高的水平，如图49所示：</w:t>
      </w:r>
    </w:p>
    <w:p>
      <w:pPr>
        <w:spacing w:line="360" w:lineRule="auto"/>
        <w:jc w:val="center"/>
        <w:rPr>
          <w:rFonts w:ascii="宋体" w:hAnsi="宋体" w:eastAsia="宋体" w:cs="宋体"/>
          <w:sz w:val="18"/>
          <w:szCs w:val="21"/>
        </w:rPr>
      </w:pPr>
      <w:r>
        <w:rPr>
          <w:rFonts w:hint="eastAsia" w:ascii="宋体" w:hAnsi="宋体" w:eastAsia="宋体" w:cs="宋体"/>
          <w:szCs w:val="21"/>
        </w:rPr>
        <w:drawing>
          <wp:inline distT="0" distB="0" distL="114300" distR="114300">
            <wp:extent cx="5027295" cy="2346325"/>
            <wp:effectExtent l="0" t="0" r="1905" b="6350"/>
            <wp:docPr id="3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6"/>
                    <pic:cNvPicPr>
                      <a:picLocks noChangeAspect="1"/>
                    </pic:cNvPicPr>
                  </pic:nvPicPr>
                  <pic:blipFill>
                    <a:blip r:embed="rId65"/>
                    <a:srcRect l="1585" t="11254" r="3318" b="9965"/>
                    <a:stretch>
                      <a:fillRect/>
                    </a:stretch>
                  </pic:blipFill>
                  <pic:spPr>
                    <a:xfrm>
                      <a:off x="0" y="0"/>
                      <a:ext cx="5027295" cy="2346325"/>
                    </a:xfrm>
                    <a:prstGeom prst="rect">
                      <a:avLst/>
                    </a:prstGeom>
                    <a:noFill/>
                    <a:ln w="9525">
                      <a:noFill/>
                    </a:ln>
                  </pic:spPr>
                </pic:pic>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图49 婴童市场规模增长图</w:t>
      </w:r>
    </w:p>
    <w:p>
      <w:pPr>
        <w:spacing w:line="360" w:lineRule="auto"/>
        <w:ind w:firstLine="420" w:firstLineChars="200"/>
        <w:rPr>
          <w:rFonts w:ascii="宋体" w:hAnsi="宋体" w:eastAsia="宋体" w:cs="宋体"/>
        </w:rPr>
      </w:pPr>
      <w:r>
        <w:rPr>
          <w:rFonts w:hint="eastAsia" w:ascii="宋体" w:hAnsi="宋体" w:eastAsia="宋体" w:cs="宋体"/>
        </w:rPr>
        <w:t>海南作为经济特区，居民文化‎水平都相对‎较高且收入‎也较高，对于宝宝的‎营养也越高‎。作为本地公司的好孩子食品更容易受到青睐。</w:t>
      </w:r>
    </w:p>
    <w:p>
      <w:pPr>
        <w:spacing w:line="360" w:lineRule="auto"/>
        <w:outlineLvl w:val="1"/>
        <w:rPr>
          <w:rFonts w:ascii="宋体" w:hAnsi="宋体" w:eastAsia="宋体" w:cs="宋体"/>
          <w:sz w:val="24"/>
        </w:rPr>
      </w:pPr>
      <w:bookmarkStart w:id="67" w:name="_Toc19255"/>
      <w:r>
        <w:rPr>
          <w:rFonts w:hint="eastAsia" w:ascii="宋体" w:hAnsi="宋体" w:eastAsia="宋体" w:cs="宋体"/>
          <w:sz w:val="24"/>
        </w:rPr>
        <w:t>2.成本维度</w:t>
      </w:r>
      <w:bookmarkEnd w:id="67"/>
    </w:p>
    <w:p>
      <w:pPr>
        <w:spacing w:line="360" w:lineRule="auto"/>
        <w:ind w:firstLine="420" w:firstLineChars="200"/>
        <w:rPr>
          <w:rFonts w:ascii="宋体" w:hAnsi="宋体" w:eastAsia="宋体" w:cs="宋体"/>
        </w:rPr>
      </w:pPr>
      <w:r>
        <w:rPr>
          <w:rFonts w:hint="eastAsia" w:ascii="宋体" w:hAnsi="宋体" w:eastAsia="宋体" w:cs="宋体"/>
        </w:rPr>
        <w:t>好孩子食品作为一个初创型公司，综合各方面因素考虑，研发费用及人才引进，服务人员聘请及团队培训，主营业务生产等相关开支，广告费用预计分配如图50所示：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3087370" cy="1883410"/>
            <wp:effectExtent l="0" t="0" r="17780" b="2540"/>
            <wp:docPr id="32"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图50 广告费用预计分配</w:t>
      </w:r>
    </w:p>
    <w:p>
      <w:pPr>
        <w:spacing w:line="360" w:lineRule="auto"/>
        <w:ind w:firstLine="420" w:firstLineChars="200"/>
        <w:rPr>
          <w:rFonts w:ascii="宋体" w:hAnsi="宋体" w:eastAsia="宋体" w:cs="宋体"/>
        </w:rPr>
      </w:pPr>
      <w:r>
        <w:rPr>
          <w:rFonts w:hint="eastAsia" w:ascii="宋体" w:hAnsi="宋体" w:eastAsia="宋体" w:cs="宋体"/>
        </w:rPr>
        <w:t>根据微信朋友圈和腾讯联盟等广告定价和预期曝光量，预估投放广告成本如表7所示：</w:t>
      </w:r>
    </w:p>
    <w:p>
      <w:pPr>
        <w:spacing w:line="360" w:lineRule="auto"/>
        <w:jc w:val="center"/>
        <w:rPr>
          <w:rFonts w:ascii="宋体" w:hAnsi="宋体" w:eastAsia="宋体" w:cs="宋体"/>
          <w:sz w:val="18"/>
          <w:szCs w:val="21"/>
        </w:rPr>
      </w:pPr>
      <w:r>
        <w:rPr>
          <w:rFonts w:hint="eastAsia" w:ascii="宋体" w:hAnsi="宋体" w:eastAsia="宋体" w:cs="宋体"/>
          <w:sz w:val="18"/>
          <w:szCs w:val="21"/>
        </w:rPr>
        <w:br w:type="page"/>
      </w:r>
    </w:p>
    <w:p>
      <w:pPr>
        <w:spacing w:line="360" w:lineRule="auto"/>
        <w:jc w:val="center"/>
        <w:rPr>
          <w:rFonts w:ascii="宋体" w:hAnsi="宋体" w:eastAsia="宋体" w:cs="宋体"/>
          <w:sz w:val="18"/>
          <w:szCs w:val="21"/>
        </w:rPr>
      </w:pPr>
      <w:r>
        <w:rPr>
          <w:rFonts w:hint="eastAsia" w:ascii="宋体" w:hAnsi="宋体" w:eastAsia="宋体" w:cs="宋体"/>
          <w:sz w:val="18"/>
          <w:szCs w:val="21"/>
        </w:rPr>
        <w:t>表</w:t>
      </w:r>
      <w:r>
        <w:rPr>
          <w:rFonts w:hint="eastAsia" w:ascii="宋体" w:hAnsi="宋体" w:eastAsia="宋体" w:cs="宋体"/>
          <w:sz w:val="18"/>
          <w:szCs w:val="21"/>
          <w:lang w:val="en-US" w:eastAsia="zh-CN"/>
        </w:rPr>
        <w:t>6</w:t>
      </w:r>
      <w:r>
        <w:rPr>
          <w:rFonts w:hint="eastAsia" w:ascii="宋体" w:hAnsi="宋体" w:eastAsia="宋体" w:cs="宋体"/>
          <w:sz w:val="18"/>
          <w:szCs w:val="21"/>
        </w:rPr>
        <w:t xml:space="preserve"> 投放广告成本</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8"/>
        <w:gridCol w:w="285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1848"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项目</w:t>
            </w:r>
          </w:p>
        </w:tc>
        <w:tc>
          <w:tcPr>
            <w:tcW w:w="2852"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费用金额（万元）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1848"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微信朋友圈广告</w:t>
            </w:r>
          </w:p>
        </w:tc>
        <w:tc>
          <w:tcPr>
            <w:tcW w:w="2852" w:type="dxa"/>
            <w:tcBorders>
              <w:top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184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腾讯联盟广告</w:t>
            </w:r>
          </w:p>
        </w:tc>
        <w:tc>
          <w:tcPr>
            <w:tcW w:w="2852"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184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小红书推广</w:t>
            </w:r>
          </w:p>
        </w:tc>
        <w:tc>
          <w:tcPr>
            <w:tcW w:w="2852"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184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直播推广</w:t>
            </w:r>
          </w:p>
        </w:tc>
        <w:tc>
          <w:tcPr>
            <w:tcW w:w="2852"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184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人员培训费用</w:t>
            </w:r>
          </w:p>
        </w:tc>
        <w:tc>
          <w:tcPr>
            <w:tcW w:w="2852"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exact"/>
          <w:jc w:val="center"/>
        </w:trPr>
        <w:tc>
          <w:tcPr>
            <w:tcW w:w="1848"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总计</w:t>
            </w:r>
          </w:p>
        </w:tc>
        <w:tc>
          <w:tcPr>
            <w:tcW w:w="2852" w:type="dxa"/>
            <w:vAlign w:val="top"/>
          </w:tcPr>
          <w:p>
            <w:pPr>
              <w:keepNext w:val="0"/>
              <w:keepLines w:val="0"/>
              <w:pageBreakBefore w:val="0"/>
              <w:widowControl w:val="0"/>
              <w:kinsoku/>
              <w:wordWrap/>
              <w:overflowPunct/>
              <w:topLinePunct w:val="0"/>
              <w:autoSpaceDE/>
              <w:autoSpaceDN/>
              <w:bidi w:val="0"/>
              <w:adjustRightInd/>
              <w:snapToGrid/>
              <w:spacing w:line="300" w:lineRule="exact"/>
              <w:ind w:left="0" w:leftChars="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50</w:t>
            </w:r>
          </w:p>
        </w:tc>
      </w:tr>
    </w:tbl>
    <w:p>
      <w:pPr>
        <w:spacing w:line="360" w:lineRule="auto"/>
        <w:outlineLvl w:val="1"/>
        <w:rPr>
          <w:rFonts w:ascii="宋体" w:hAnsi="宋体" w:eastAsia="宋体" w:cs="宋体"/>
          <w:sz w:val="24"/>
        </w:rPr>
      </w:pPr>
      <w:bookmarkStart w:id="68" w:name="_Toc26071"/>
      <w:r>
        <w:rPr>
          <w:rFonts w:hint="eastAsia" w:ascii="宋体" w:hAnsi="宋体" w:eastAsia="宋体" w:cs="宋体"/>
          <w:sz w:val="24"/>
        </w:rPr>
        <w:t>3.时间维度</w:t>
      </w:r>
      <w:bookmarkEnd w:id="68"/>
    </w:p>
    <w:p>
      <w:pPr>
        <w:spacing w:line="360" w:lineRule="auto"/>
        <w:ind w:firstLine="420" w:firstLineChars="200"/>
        <w:rPr>
          <w:rFonts w:ascii="宋体" w:hAnsi="宋体" w:eastAsia="宋体" w:cs="宋体"/>
        </w:rPr>
      </w:pPr>
      <w:r>
        <w:rPr>
          <w:rFonts w:hint="eastAsia" w:ascii="宋体" w:hAnsi="宋体" w:eastAsia="宋体" w:cs="宋体"/>
        </w:rPr>
        <w:t>好孩子食品公司目前处于初创期，公司业务刚刚起步，公司目前时间规划如表8所示：</w:t>
      </w:r>
    </w:p>
    <w:p>
      <w:pPr>
        <w:spacing w:line="360" w:lineRule="auto"/>
        <w:ind w:firstLine="360" w:firstLineChars="200"/>
        <w:jc w:val="center"/>
        <w:rPr>
          <w:rFonts w:hint="eastAsia" w:ascii="宋体" w:hAnsi="宋体" w:eastAsia="宋体" w:cs="宋体"/>
          <w:sz w:val="18"/>
          <w:szCs w:val="21"/>
        </w:rPr>
      </w:pPr>
      <w:r>
        <w:rPr>
          <w:rFonts w:hint="eastAsia" w:ascii="宋体" w:hAnsi="宋体" w:eastAsia="宋体" w:cs="宋体"/>
          <w:sz w:val="18"/>
          <w:szCs w:val="21"/>
        </w:rPr>
        <w:t>表</w:t>
      </w:r>
      <w:r>
        <w:rPr>
          <w:rFonts w:hint="eastAsia" w:ascii="宋体" w:hAnsi="宋体" w:eastAsia="宋体" w:cs="宋体"/>
          <w:sz w:val="18"/>
          <w:szCs w:val="21"/>
          <w:lang w:val="en-US" w:eastAsia="zh-CN"/>
        </w:rPr>
        <w:t>7</w:t>
      </w:r>
      <w:r>
        <w:rPr>
          <w:rFonts w:hint="eastAsia" w:ascii="宋体" w:hAnsi="宋体" w:eastAsia="宋体" w:cs="宋体"/>
          <w:sz w:val="18"/>
          <w:szCs w:val="21"/>
        </w:rPr>
        <w:t xml:space="preserve"> 公司目前时间规划</w:t>
      </w:r>
    </w:p>
    <w:tbl>
      <w:tblPr>
        <w:tblStyle w:val="13"/>
        <w:tblpPr w:leftFromText="180" w:rightFromText="180" w:vertAnchor="text" w:horzAnchor="page" w:tblpX="2315" w:tblpY="114"/>
        <w:tblOverlap w:val="never"/>
        <w:tblW w:w="7499"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48"/>
        <w:gridCol w:w="545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48" w:type="dxa"/>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宋体" w:hAnsi="宋体" w:eastAsia="宋体" w:cs="宋体"/>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战略目标</w:t>
            </w:r>
          </w:p>
        </w:tc>
        <w:tc>
          <w:tcPr>
            <w:tcW w:w="5451" w:type="dxa"/>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组建优质服务团队，进行产品宣传，线下线上同步销售。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充分接触、了解市场规划，积累经验，锁定客户群体建立品牌效应。</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注重技术积累和创新，力求完善公司主力产品。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48"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公司规模</w:t>
            </w:r>
          </w:p>
        </w:tc>
        <w:tc>
          <w:tcPr>
            <w:tcW w:w="5451"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30—50人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48" w:type="dxa"/>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持续时间</w:t>
            </w:r>
          </w:p>
        </w:tc>
        <w:tc>
          <w:tcPr>
            <w:tcW w:w="5451" w:type="dxa"/>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2年</w:t>
            </w:r>
          </w:p>
        </w:tc>
      </w:tr>
    </w:tbl>
    <w:p>
      <w:pPr>
        <w:spacing w:line="360" w:lineRule="auto"/>
        <w:ind w:firstLine="420" w:firstLineChars="200"/>
        <w:rPr>
          <w:rFonts w:ascii="宋体" w:hAnsi="宋体" w:eastAsia="宋体" w:cs="宋体"/>
        </w:rPr>
      </w:pPr>
      <w:r>
        <w:rPr>
          <w:rFonts w:hint="eastAsia" w:ascii="宋体" w:hAnsi="宋体" w:eastAsia="宋体" w:cs="宋体"/>
        </w:rPr>
        <w:t>依托于海南省相对优越的经济环境和良好的经济交通建设以及经济特区的特殊政策，通过合理的产品营销，好孩子食品公司可以在较短时间内完成团队建设和品牌建设，实现公司的快速发展。</w:t>
      </w:r>
    </w:p>
    <w:p>
      <w:pPr>
        <w:spacing w:line="360" w:lineRule="auto"/>
        <w:rPr>
          <w:rFonts w:hint="eastAsia" w:ascii="宋体" w:hAnsi="宋体" w:eastAsia="宋体" w:cs="宋体"/>
        </w:rPr>
        <w:sectPr>
          <w:headerReference r:id="rId16"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rPr>
        <w:br w:type="page"/>
      </w:r>
    </w:p>
    <w:p>
      <w:pPr>
        <w:spacing w:line="360" w:lineRule="auto"/>
        <w:outlineLvl w:val="0"/>
        <w:rPr>
          <w:rFonts w:ascii="宋体" w:hAnsi="宋体" w:eastAsia="宋体" w:cs="宋体"/>
          <w:sz w:val="28"/>
          <w:szCs w:val="28"/>
        </w:rPr>
      </w:pPr>
      <w:bookmarkStart w:id="69" w:name="_Toc13742"/>
      <w:r>
        <w:rPr>
          <w:rFonts w:hint="eastAsia" w:ascii="宋体" w:hAnsi="宋体" w:eastAsia="宋体" w:cs="宋体"/>
          <w:sz w:val="28"/>
          <w:szCs w:val="28"/>
        </w:rPr>
        <w:t>七.预期效果评价</w:t>
      </w:r>
      <w:bookmarkEnd w:id="69"/>
    </w:p>
    <w:p>
      <w:pPr>
        <w:spacing w:line="360" w:lineRule="auto"/>
        <w:outlineLvl w:val="1"/>
        <w:rPr>
          <w:rFonts w:ascii="宋体" w:hAnsi="宋体" w:eastAsia="宋体" w:cs="宋体"/>
          <w:sz w:val="24"/>
        </w:rPr>
      </w:pPr>
      <w:bookmarkStart w:id="70" w:name="_Toc22192"/>
      <w:r>
        <w:rPr>
          <w:rFonts w:hint="eastAsia" w:ascii="宋体" w:hAnsi="宋体" w:eastAsia="宋体" w:cs="宋体"/>
          <w:sz w:val="24"/>
        </w:rPr>
        <w:t>1.选取的评价标准</w:t>
      </w:r>
      <w:bookmarkEnd w:id="70"/>
    </w:p>
    <w:p>
      <w:pPr>
        <w:spacing w:line="360" w:lineRule="auto"/>
        <w:ind w:firstLine="420" w:firstLineChars="200"/>
        <w:rPr>
          <w:rFonts w:ascii="宋体" w:hAnsi="宋体" w:eastAsia="宋体" w:cs="宋体"/>
          <w:szCs w:val="21"/>
        </w:rPr>
      </w:pPr>
      <w:r>
        <w:rPr>
          <w:rFonts w:hint="eastAsia" w:ascii="宋体" w:hAnsi="宋体" w:eastAsia="宋体" w:cs="宋体"/>
          <w:szCs w:val="21"/>
        </w:rPr>
        <w:t>在整体策划方案中，我们主要从采取线上线下双渠道营销方式入手，以产品供给侧改革为基础依托，对外多元化宣传点为发力重点，以此打造自身的快消婴童品牌。经过对整体策划的全面深入探讨和评估后，我们对方案所带来的预期效应和品牌未来发展前景有着充足的信心。为了能够更好地实现长期可持续稳定发展，我们选取了以下具体的评价指标进行量化检测。</w:t>
      </w:r>
    </w:p>
    <w:p>
      <w:pPr>
        <w:spacing w:line="360" w:lineRule="auto"/>
        <w:outlineLvl w:val="2"/>
        <w:rPr>
          <w:rFonts w:ascii="宋体" w:hAnsi="宋体" w:eastAsia="宋体" w:cs="宋体"/>
          <w:szCs w:val="21"/>
        </w:rPr>
      </w:pPr>
      <w:bookmarkStart w:id="71" w:name="_Toc13060"/>
      <w:r>
        <w:rPr>
          <w:rFonts w:hint="eastAsia" w:ascii="宋体" w:hAnsi="宋体" w:eastAsia="宋体" w:cs="宋体"/>
          <w:szCs w:val="21"/>
        </w:rPr>
        <w:t>1.1市场角度</w:t>
      </w:r>
      <w:bookmarkEnd w:id="71"/>
    </w:p>
    <w:p>
      <w:pPr>
        <w:spacing w:line="360" w:lineRule="auto"/>
        <w:ind w:firstLine="420" w:firstLineChars="200"/>
        <w:rPr>
          <w:rFonts w:ascii="宋体" w:hAnsi="宋体" w:eastAsia="宋体" w:cs="宋体"/>
          <w:szCs w:val="21"/>
        </w:rPr>
      </w:pPr>
      <w:r>
        <w:rPr>
          <w:rFonts w:hint="eastAsia" w:ascii="宋体" w:hAnsi="宋体" w:eastAsia="宋体" w:cs="宋体"/>
          <w:szCs w:val="21"/>
        </w:rPr>
        <w:t>（1）市场占有率</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市场占有率是指企业商品</w:t>
      </w:r>
      <w:r>
        <w:fldChar w:fldCharType="begin"/>
      </w:r>
      <w:r>
        <w:instrText xml:space="preserve"> HYPERLINK "https://baike.baidu.com/item/%E9%94%80%E5%94%AE%E9%87%8F" \t "_blank" </w:instrText>
      </w:r>
      <w:r>
        <w:fldChar w:fldCharType="separate"/>
      </w:r>
      <w:r>
        <w:rPr>
          <w:rFonts w:hint="eastAsia" w:ascii="宋体" w:hAnsi="宋体" w:eastAsia="宋体" w:cs="宋体"/>
          <w:szCs w:val="21"/>
        </w:rPr>
        <w:t>销售量</w:t>
      </w:r>
      <w:r>
        <w:rPr>
          <w:rFonts w:hint="eastAsia" w:ascii="宋体" w:hAnsi="宋体" w:eastAsia="宋体" w:cs="宋体"/>
          <w:szCs w:val="21"/>
        </w:rPr>
        <w:fldChar w:fldCharType="end"/>
      </w:r>
      <w:r>
        <w:rPr>
          <w:rFonts w:hint="eastAsia" w:ascii="宋体" w:hAnsi="宋体" w:eastAsia="宋体" w:cs="宋体"/>
          <w:szCs w:val="21"/>
        </w:rPr>
        <w:t>（额）在同类行业商品销售量（额）中所占的比例</w:t>
      </w:r>
      <w:r>
        <w:rPr>
          <w:rFonts w:hint="eastAsia" w:ascii="宋体" w:hAnsi="宋体" w:eastAsia="宋体" w:cs="宋体"/>
          <w:szCs w:val="21"/>
          <w:lang w:eastAsia="zh-CN"/>
        </w:rPr>
        <w:t>，</w:t>
      </w:r>
      <w:r>
        <w:rPr>
          <w:rFonts w:hint="eastAsia" w:ascii="宋体" w:hAnsi="宋体" w:eastAsia="宋体" w:cs="宋体"/>
          <w:szCs w:val="21"/>
        </w:rPr>
        <w:t>市场占有率是分析企业竞争状况的重要指标，也是衡量企业营销状况的综合经济指标。市场占有率高，表明企业营销状况好，竞争能力强，在市场上占有有利地位；反之，则表明企业营销状态差，竞争能力弱，在市场上处于不利地位。</w:t>
      </w:r>
    </w:p>
    <w:p>
      <w:pPr>
        <w:spacing w:line="360" w:lineRule="auto"/>
        <w:ind w:firstLine="420" w:firstLineChars="200"/>
        <w:rPr>
          <w:rFonts w:ascii="宋体" w:hAnsi="宋体" w:eastAsia="宋体" w:cs="宋体"/>
          <w:szCs w:val="21"/>
        </w:rPr>
      </w:pPr>
      <w:r>
        <w:rPr>
          <w:rFonts w:hint="eastAsia" w:ascii="宋体" w:hAnsi="宋体" w:eastAsia="宋体" w:cs="宋体"/>
          <w:szCs w:val="21"/>
        </w:rPr>
        <w:t>（2）品牌发展指数</w:t>
      </w:r>
    </w:p>
    <w:p>
      <w:pPr>
        <w:spacing w:line="360" w:lineRule="auto"/>
        <w:ind w:firstLine="525" w:firstLineChars="250"/>
        <w:rPr>
          <w:rFonts w:ascii="宋体" w:hAnsi="宋体" w:eastAsia="宋体" w:cs="宋体"/>
          <w:szCs w:val="21"/>
        </w:rPr>
      </w:pPr>
      <w:r>
        <w:rPr>
          <w:rFonts w:hint="eastAsia" w:ascii="宋体" w:hAnsi="宋体" w:eastAsia="宋体" w:cs="宋体"/>
          <w:szCs w:val="21"/>
        </w:rPr>
        <w:t>品牌发展指数是指该品牌在该地区的销售（消费者人数）占全部销售（消费者人数）的比例，品牌发展指数描述特定市场状况的一个指标，用来衡量一个品牌在区域市场的发展程度，常缩写为</w:t>
      </w:r>
      <w:r>
        <w:rPr>
          <w:rFonts w:hint="eastAsia" w:ascii="宋体" w:hAnsi="宋体" w:eastAsia="宋体" w:cs="宋体"/>
          <w:b/>
          <w:bCs/>
          <w:szCs w:val="21"/>
        </w:rPr>
        <w:t>BDI</w:t>
      </w:r>
      <w:r>
        <w:rPr>
          <w:rFonts w:hint="eastAsia" w:ascii="宋体" w:hAnsi="宋体" w:eastAsia="宋体" w:cs="宋体"/>
          <w:szCs w:val="21"/>
        </w:rPr>
        <w:t>。该指标可用来帮助制定地区费用支出策略，保持企业在地区市场的优势，或者把劣势转为优势。</w:t>
      </w:r>
    </w:p>
    <w:p>
      <w:pPr>
        <w:spacing w:line="360" w:lineRule="auto"/>
        <w:outlineLvl w:val="2"/>
        <w:rPr>
          <w:rFonts w:ascii="宋体" w:hAnsi="宋体" w:eastAsia="宋体" w:cs="宋体"/>
          <w:szCs w:val="21"/>
        </w:rPr>
      </w:pPr>
      <w:bookmarkStart w:id="72" w:name="_Toc19757"/>
      <w:r>
        <w:rPr>
          <w:rFonts w:hint="eastAsia" w:ascii="宋体" w:hAnsi="宋体" w:eastAsia="宋体" w:cs="宋体"/>
          <w:szCs w:val="21"/>
        </w:rPr>
        <w:t>1.2客户角度</w:t>
      </w:r>
      <w:bookmarkEnd w:id="72"/>
    </w:p>
    <w:p>
      <w:pPr>
        <w:spacing w:line="360" w:lineRule="auto"/>
        <w:ind w:firstLine="420" w:firstLineChars="200"/>
        <w:rPr>
          <w:rFonts w:ascii="宋体" w:hAnsi="宋体" w:eastAsia="宋体" w:cs="宋体"/>
          <w:szCs w:val="21"/>
        </w:rPr>
      </w:pPr>
      <w:r>
        <w:rPr>
          <w:rFonts w:hint="eastAsia" w:ascii="宋体" w:hAnsi="宋体" w:eastAsia="宋体" w:cs="宋体"/>
          <w:szCs w:val="21"/>
        </w:rPr>
        <w:t>（1）新客户获得率</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新客户获得率是指</w:t>
      </w:r>
      <w:r>
        <w:fldChar w:fldCharType="begin"/>
      </w:r>
      <w:r>
        <w:instrText xml:space="preserve"> HYPERLINK "https://baike.baidu.com/item/%E4%BC%81%E4%B8%9A" \t "_blank" </w:instrText>
      </w:r>
      <w:r>
        <w:fldChar w:fldCharType="separate"/>
      </w:r>
      <w:r>
        <w:rPr>
          <w:rFonts w:hint="eastAsia" w:ascii="宋体" w:hAnsi="宋体" w:eastAsia="宋体" w:cs="宋体"/>
          <w:szCs w:val="21"/>
        </w:rPr>
        <w:t>企业</w:t>
      </w:r>
      <w:r>
        <w:rPr>
          <w:rFonts w:hint="eastAsia" w:ascii="宋体" w:hAnsi="宋体" w:eastAsia="宋体" w:cs="宋体"/>
          <w:szCs w:val="21"/>
        </w:rPr>
        <w:fldChar w:fldCharType="end"/>
      </w:r>
      <w:r>
        <w:rPr>
          <w:rFonts w:hint="eastAsia" w:ascii="宋体" w:hAnsi="宋体" w:eastAsia="宋体" w:cs="宋体"/>
          <w:szCs w:val="21"/>
        </w:rPr>
        <w:t>在争取新客户时获得成功部分的比例，它反映了企业挖掘</w:t>
      </w:r>
      <w:r>
        <w:fldChar w:fldCharType="begin"/>
      </w:r>
      <w:r>
        <w:instrText xml:space="preserve"> HYPERLINK "https://baike.baidu.com/item/%E6%BD%9C%E5%9C%A8%E5%B8%82%E5%9C%BA" \t "_blank" </w:instrText>
      </w:r>
      <w:r>
        <w:fldChar w:fldCharType="separate"/>
      </w:r>
      <w:r>
        <w:rPr>
          <w:rFonts w:hint="eastAsia" w:ascii="宋体" w:hAnsi="宋体" w:eastAsia="宋体" w:cs="宋体"/>
          <w:szCs w:val="21"/>
        </w:rPr>
        <w:t>潜在市场</w:t>
      </w:r>
      <w:r>
        <w:rPr>
          <w:rFonts w:hint="eastAsia" w:ascii="宋体" w:hAnsi="宋体" w:eastAsia="宋体" w:cs="宋体"/>
          <w:szCs w:val="21"/>
        </w:rPr>
        <w:fldChar w:fldCharType="end"/>
      </w:r>
      <w:r>
        <w:rPr>
          <w:rFonts w:hint="eastAsia" w:ascii="宋体" w:hAnsi="宋体" w:eastAsia="宋体" w:cs="宋体"/>
          <w:szCs w:val="21"/>
        </w:rPr>
        <w:t>、扩大</w:t>
      </w:r>
      <w:r>
        <w:fldChar w:fldCharType="begin"/>
      </w:r>
      <w:r>
        <w:instrText xml:space="preserve"> HYPERLINK "https://baike.baidu.com/item/%E5%B8%82%E5%9C%BA%E5%8D%A0%E6%9C%89%E7%8E%87" \t "_blank" </w:instrText>
      </w:r>
      <w:r>
        <w:fldChar w:fldCharType="separate"/>
      </w:r>
      <w:r>
        <w:rPr>
          <w:rFonts w:hint="eastAsia" w:ascii="宋体" w:hAnsi="宋体" w:eastAsia="宋体" w:cs="宋体"/>
          <w:szCs w:val="21"/>
        </w:rPr>
        <w:t>市场占有率</w:t>
      </w:r>
      <w:r>
        <w:rPr>
          <w:rFonts w:hint="eastAsia" w:ascii="宋体" w:hAnsi="宋体" w:eastAsia="宋体" w:cs="宋体"/>
          <w:szCs w:val="21"/>
        </w:rPr>
        <w:fldChar w:fldCharType="end"/>
      </w:r>
      <w:r>
        <w:rPr>
          <w:rFonts w:hint="eastAsia" w:ascii="宋体" w:hAnsi="宋体" w:eastAsia="宋体" w:cs="宋体"/>
          <w:szCs w:val="21"/>
        </w:rPr>
        <w:t>的</w:t>
      </w:r>
      <w:r>
        <w:fldChar w:fldCharType="begin"/>
      </w:r>
      <w:r>
        <w:instrText xml:space="preserve"> HYPERLINK "https://baike.baidu.com/item/%E8%83%BD%E5%8A%9B" \t "_blank" </w:instrText>
      </w:r>
      <w:r>
        <w:fldChar w:fldCharType="separate"/>
      </w:r>
      <w:r>
        <w:rPr>
          <w:rFonts w:hint="eastAsia" w:ascii="宋体" w:hAnsi="宋体" w:eastAsia="宋体" w:cs="宋体"/>
          <w:szCs w:val="21"/>
        </w:rPr>
        <w:t>能力</w:t>
      </w:r>
      <w:r>
        <w:rPr>
          <w:rFonts w:hint="eastAsia" w:ascii="宋体" w:hAnsi="宋体" w:eastAsia="宋体" w:cs="宋体"/>
          <w:szCs w:val="21"/>
        </w:rPr>
        <w:fldChar w:fldCharType="end"/>
      </w:r>
      <w:r>
        <w:rPr>
          <w:rFonts w:hint="eastAsia" w:ascii="宋体" w:hAnsi="宋体" w:eastAsia="宋体" w:cs="宋体"/>
          <w:szCs w:val="21"/>
        </w:rPr>
        <w:t>，同时也从侧面反映了企业在</w:t>
      </w:r>
      <w:r>
        <w:fldChar w:fldCharType="begin"/>
      </w:r>
      <w:r>
        <w:instrText xml:space="preserve"> HYPERLINK "https://baike.baidu.com/item/%E5%85%AC%E4%BC%97" \t "_blank" </w:instrText>
      </w:r>
      <w:r>
        <w:fldChar w:fldCharType="separate"/>
      </w:r>
      <w:r>
        <w:rPr>
          <w:rFonts w:hint="eastAsia" w:ascii="宋体" w:hAnsi="宋体" w:eastAsia="宋体" w:cs="宋体"/>
          <w:szCs w:val="21"/>
        </w:rPr>
        <w:t>公众</w:t>
      </w:r>
      <w:r>
        <w:rPr>
          <w:rFonts w:hint="eastAsia" w:ascii="宋体" w:hAnsi="宋体" w:eastAsia="宋体" w:cs="宋体"/>
          <w:szCs w:val="21"/>
        </w:rPr>
        <w:fldChar w:fldCharType="end"/>
      </w:r>
      <w:r>
        <w:rPr>
          <w:rFonts w:hint="eastAsia" w:ascii="宋体" w:hAnsi="宋体" w:eastAsia="宋体" w:cs="宋体"/>
          <w:szCs w:val="21"/>
        </w:rPr>
        <w:t>心目中的声誉。用于评价企业吸引获取的新客户的数量或比例,企业开发新顾客的能力是企业提高市场份额的关键。该</w:t>
      </w:r>
      <w:r>
        <w:fldChar w:fldCharType="begin"/>
      </w:r>
      <w:r>
        <w:instrText xml:space="preserve"> HYPERLINK "https://baike.baidu.com/item/%E6%8C%87%E6%A0%87" \t "_blank" </w:instrText>
      </w:r>
      <w:r>
        <w:fldChar w:fldCharType="separate"/>
      </w:r>
      <w:r>
        <w:rPr>
          <w:rFonts w:hint="eastAsia" w:ascii="宋体" w:hAnsi="宋体" w:eastAsia="宋体" w:cs="宋体"/>
          <w:szCs w:val="21"/>
        </w:rPr>
        <w:t>指标</w:t>
      </w:r>
      <w:r>
        <w:rPr>
          <w:rFonts w:hint="eastAsia" w:ascii="宋体" w:hAnsi="宋体" w:eastAsia="宋体" w:cs="宋体"/>
          <w:szCs w:val="21"/>
        </w:rPr>
        <w:fldChar w:fldCharType="end"/>
      </w:r>
      <w:r>
        <w:rPr>
          <w:rFonts w:hint="eastAsia" w:ascii="宋体" w:hAnsi="宋体" w:eastAsia="宋体" w:cs="宋体"/>
          <w:szCs w:val="21"/>
        </w:rPr>
        <w:t>可用顾客数量增长率或顾客交易额增长率来描述。</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客户数量增长率=本期客户数量-上期客户数量/上期客户数量</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客户交易额增长率=本期客户交易额-上期客户交易额/上期客户交易额</w:t>
      </w:r>
    </w:p>
    <w:p>
      <w:pPr>
        <w:spacing w:line="360" w:lineRule="auto"/>
        <w:ind w:firstLine="420" w:firstLineChars="200"/>
        <w:rPr>
          <w:rFonts w:ascii="宋体" w:hAnsi="宋体" w:eastAsia="宋体" w:cs="宋体"/>
          <w:szCs w:val="21"/>
        </w:rPr>
      </w:pPr>
      <w:r>
        <w:rPr>
          <w:rFonts w:ascii="宋体" w:hAnsi="宋体" w:eastAsia="宋体" w:cs="宋体"/>
          <w:szCs w:val="21"/>
        </w:rPr>
        <w:br w:type="page"/>
      </w:r>
    </w:p>
    <w:p>
      <w:pPr>
        <w:spacing w:line="360" w:lineRule="auto"/>
        <w:ind w:firstLine="420" w:firstLineChars="200"/>
        <w:rPr>
          <w:rFonts w:ascii="宋体" w:hAnsi="宋体" w:eastAsia="宋体" w:cs="宋体"/>
          <w:szCs w:val="21"/>
        </w:rPr>
      </w:pPr>
      <w:r>
        <w:rPr>
          <w:rFonts w:hint="eastAsia" w:ascii="宋体" w:hAnsi="宋体" w:eastAsia="宋体" w:cs="宋体"/>
          <w:szCs w:val="21"/>
        </w:rPr>
        <w:t>（2）客户</w:t>
      </w:r>
      <w:r>
        <w:fldChar w:fldCharType="begin"/>
      </w:r>
      <w:r>
        <w:instrText xml:space="preserve"> HYPERLINK "https://baike.baidu.com/item/%E6%9C%8D%E5%8A%A1%E6%BB%A1%E6%84%8F%E5%BA%A6" \t "_blank" </w:instrText>
      </w:r>
      <w:r>
        <w:fldChar w:fldCharType="separate"/>
      </w:r>
      <w:r>
        <w:rPr>
          <w:rFonts w:hint="eastAsia" w:ascii="宋体" w:hAnsi="宋体" w:eastAsia="宋体" w:cs="宋体"/>
          <w:szCs w:val="21"/>
        </w:rPr>
        <w:t>服务满意度</w:t>
      </w:r>
      <w:r>
        <w:rPr>
          <w:rFonts w:hint="eastAsia" w:ascii="宋体" w:hAnsi="宋体" w:eastAsia="宋体" w:cs="宋体"/>
          <w:szCs w:val="21"/>
        </w:rPr>
        <w:fldChar w:fldCharType="end"/>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客户</w:t>
      </w:r>
      <w:r>
        <w:fldChar w:fldCharType="begin"/>
      </w:r>
      <w:r>
        <w:instrText xml:space="preserve"> HYPERLINK "https://baike.baidu.com/item/%E6%9C%8D%E5%8A%A1%E6%BB%A1%E6%84%8F%E5%BA%A6" \t "_blank" </w:instrText>
      </w:r>
      <w:r>
        <w:fldChar w:fldCharType="separate"/>
      </w:r>
      <w:r>
        <w:rPr>
          <w:rFonts w:hint="eastAsia" w:ascii="宋体" w:hAnsi="宋体" w:eastAsia="宋体" w:cs="宋体"/>
        </w:rPr>
        <w:t>服务满意度</w:t>
      </w:r>
      <w:r>
        <w:rPr>
          <w:rFonts w:hint="eastAsia" w:ascii="宋体" w:hAnsi="宋体" w:eastAsia="宋体" w:cs="宋体"/>
        </w:rPr>
        <w:fldChar w:fldCharType="end"/>
      </w:r>
      <w:r>
        <w:rPr>
          <w:rFonts w:hint="eastAsia" w:ascii="宋体" w:hAnsi="宋体" w:eastAsia="宋体" w:cs="宋体"/>
          <w:szCs w:val="21"/>
        </w:rPr>
        <w:t>是客户个人对于服务的需求和自己以往享受服务的经历再加上自己周围的对于某个企业服务的口碑构成了客户对于服务的期望值。为了能够更加清晰地观测该指标的变化，这里我们选取</w:t>
      </w:r>
      <w:r>
        <w:rPr>
          <w:rFonts w:hint="eastAsia" w:ascii="宋体" w:hAnsi="宋体" w:eastAsia="宋体" w:cs="宋体"/>
        </w:rPr>
        <w:t>RATER指数作为具体评价角度</w:t>
      </w:r>
      <w:r>
        <w:rPr>
          <w:rFonts w:hint="eastAsia" w:ascii="宋体" w:hAnsi="宋体" w:eastAsia="宋体" w:cs="宋体"/>
          <w:szCs w:val="21"/>
        </w:rPr>
        <w:t>。</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RATER指数是最权威的客户服务研究机构，美国论坛公司用近10年的时间进行细致深入的调查研究发现的可以有效衡量客户服务质量指数。</w:t>
      </w:r>
      <w:r>
        <w:rPr>
          <w:rFonts w:hint="eastAsia" w:ascii="宋体" w:hAnsi="宋体" w:eastAsia="宋体" w:cs="宋体"/>
        </w:rPr>
        <w:t>RATER指数是五个英文单词的缩写，分别代表reliability（信赖度）、assurance（专业度）、tangibles（有形度）、empathy（同理度）、responsiveness（反应度），而客户对于企业的满意程度直接取决于RATER指数的高低。</w:t>
      </w:r>
    </w:p>
    <w:p>
      <w:pPr>
        <w:spacing w:line="360" w:lineRule="auto"/>
        <w:outlineLvl w:val="2"/>
        <w:rPr>
          <w:rFonts w:ascii="宋体" w:hAnsi="宋体" w:eastAsia="宋体" w:cs="宋体"/>
          <w:szCs w:val="21"/>
        </w:rPr>
      </w:pPr>
      <w:bookmarkStart w:id="73" w:name="_Toc27063"/>
      <w:r>
        <w:rPr>
          <w:rFonts w:hint="eastAsia" w:ascii="宋体" w:hAnsi="宋体" w:eastAsia="宋体" w:cs="宋体"/>
          <w:szCs w:val="21"/>
        </w:rPr>
        <w:t>1.3传播宣传角度</w:t>
      </w:r>
      <w:bookmarkEnd w:id="73"/>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广告效果指标可以如图51所示进行分类：</w:t>
      </w:r>
      <w:r>
        <w:drawing>
          <wp:inline distT="0" distB="0" distL="114300" distR="114300">
            <wp:extent cx="4521835" cy="3250565"/>
            <wp:effectExtent l="0" t="0" r="1206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7"/>
                    <a:stretch>
                      <a:fillRect/>
                    </a:stretch>
                  </pic:blipFill>
                  <pic:spPr>
                    <a:xfrm>
                      <a:off x="0" y="0"/>
                      <a:ext cx="4521835" cy="3250565"/>
                    </a:xfrm>
                    <a:prstGeom prst="rect">
                      <a:avLst/>
                    </a:prstGeom>
                    <a:noFill/>
                    <a:ln>
                      <a:no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图51 广告效果指标分类</w:t>
      </w:r>
    </w:p>
    <w:p>
      <w:pPr>
        <w:widowControl/>
        <w:shd w:val="clear" w:color="auto" w:fill="FFFFFF"/>
        <w:spacing w:line="360" w:lineRule="auto"/>
        <w:ind w:firstLine="480"/>
        <w:jc w:val="left"/>
        <w:rPr>
          <w:rFonts w:ascii="宋体" w:hAnsi="宋体" w:eastAsia="宋体" w:cs="宋体"/>
        </w:rPr>
      </w:pPr>
      <w:r>
        <w:rPr>
          <w:rFonts w:hint="eastAsia" w:ascii="宋体" w:hAnsi="宋体" w:eastAsia="宋体" w:cs="宋体"/>
        </w:rPr>
        <w:t>广告曝光称为展示量、展示数，用来衡量广告投放期间的总展示次数。在进行市场品牌推广时，高曝光是非常有必要的。只有高曝光后，才会有后续的预计产出。</w:t>
      </w:r>
    </w:p>
    <w:p>
      <w:pPr>
        <w:spacing w:line="360" w:lineRule="auto"/>
        <w:ind w:firstLine="420" w:firstLineChars="200"/>
        <w:rPr>
          <w:rFonts w:ascii="宋体" w:hAnsi="宋体" w:eastAsia="宋体" w:cs="宋体"/>
        </w:rPr>
      </w:pPr>
      <w:r>
        <w:rPr>
          <w:rFonts w:hint="eastAsia" w:ascii="宋体" w:hAnsi="宋体" w:eastAsia="宋体" w:cs="宋体"/>
        </w:rPr>
        <w:t>广告互动率，即在广告投放的过程中，对相应进行评论、点赞、转发等等，这些因素都可以作为广告喜欢程度的评估。</w:t>
      </w:r>
    </w:p>
    <w:p>
      <w:pPr>
        <w:widowControl/>
        <w:shd w:val="clear" w:color="auto" w:fill="FFFFFF"/>
        <w:spacing w:line="360" w:lineRule="auto"/>
        <w:ind w:firstLine="480"/>
        <w:jc w:val="left"/>
        <w:rPr>
          <w:rFonts w:ascii="宋体" w:hAnsi="宋体" w:eastAsia="宋体" w:cs="宋体"/>
        </w:rPr>
      </w:pPr>
      <w:r>
        <w:rPr>
          <w:rFonts w:hint="eastAsia" w:ascii="宋体" w:hAnsi="宋体" w:eastAsia="宋体" w:cs="宋体"/>
        </w:rPr>
        <w:t>点击量，即广告投放的过程中被点击的总次数，从点击次数可以反映关注程度。</w:t>
      </w:r>
    </w:p>
    <w:p>
      <w:pPr>
        <w:widowControl/>
        <w:shd w:val="clear" w:color="auto" w:fill="FFFFFF"/>
        <w:spacing w:line="360" w:lineRule="auto"/>
        <w:ind w:firstLine="480"/>
        <w:jc w:val="left"/>
        <w:rPr>
          <w:rFonts w:ascii="宋体" w:hAnsi="宋体" w:eastAsia="宋体" w:cs="宋体"/>
        </w:rPr>
      </w:pPr>
      <w:r>
        <w:rPr>
          <w:rFonts w:hint="eastAsia" w:ascii="宋体" w:hAnsi="宋体" w:eastAsia="宋体" w:cs="宋体"/>
        </w:rPr>
        <w:t>广告回报率，ROI（Return On Investment），即广告主的</w:t>
      </w:r>
      <w:r>
        <w:fldChar w:fldCharType="begin"/>
      </w:r>
      <w:r>
        <w:instrText xml:space="preserve"> HYPERLINK "https://www.zhihu.com/search?q=%E6%8A%95%E8%B5%84%E5%9B%9E%E6%8A%A5%E7%8E%87&amp;search_source=Entity&amp;hybrid_search_source=Entity&amp;hybrid_search_extra=%7B%22sourceType%22%3A%22answer%22%2C%22sourceId%22%3A2394057734%7D" \t "_blank" </w:instrText>
      </w:r>
      <w:r>
        <w:fldChar w:fldCharType="separate"/>
      </w:r>
      <w:r>
        <w:rPr>
          <w:rFonts w:hint="eastAsia" w:ascii="宋体" w:hAnsi="宋体" w:eastAsia="宋体" w:cs="宋体"/>
        </w:rPr>
        <w:t>投资回报率</w:t>
      </w:r>
      <w:r>
        <w:rPr>
          <w:rFonts w:hint="eastAsia" w:ascii="宋体" w:hAnsi="宋体" w:eastAsia="宋体" w:cs="宋体"/>
        </w:rPr>
        <w:fldChar w:fldCharType="end"/>
      </w:r>
      <w:r>
        <w:rPr>
          <w:rFonts w:hint="eastAsia" w:ascii="宋体" w:hAnsi="宋体" w:eastAsia="宋体" w:cs="宋体"/>
        </w:rPr>
        <w:t>。该指标用来衡量投入产出比，也是我们所关注的重中之重。</w:t>
      </w:r>
    </w:p>
    <w:p>
      <w:pPr>
        <w:widowControl/>
        <w:shd w:val="clear" w:color="auto" w:fill="FFFFFF"/>
        <w:spacing w:line="360" w:lineRule="auto"/>
        <w:ind w:firstLine="420" w:firstLineChars="200"/>
        <w:jc w:val="left"/>
        <w:rPr>
          <w:rFonts w:ascii="宋体" w:hAnsi="宋体" w:eastAsia="宋体" w:cs="宋体"/>
        </w:rPr>
      </w:pPr>
      <w:r>
        <w:rPr>
          <w:rFonts w:hint="eastAsia" w:ascii="宋体" w:hAnsi="宋体" w:eastAsia="宋体" w:cs="宋体"/>
        </w:rPr>
        <w:t>网站的转化一般是行为的转化，如咨询、注册、购买、线下等活动行为的次数，这些将会影响到广告转化效果。转化数量也是衡量指标的核心重点。</w:t>
      </w:r>
    </w:p>
    <w:p>
      <w:pPr>
        <w:spacing w:line="360" w:lineRule="auto"/>
        <w:outlineLvl w:val="1"/>
        <w:rPr>
          <w:rFonts w:ascii="宋体" w:hAnsi="宋体" w:eastAsia="宋体" w:cs="宋体"/>
          <w:sz w:val="24"/>
        </w:rPr>
      </w:pPr>
      <w:r>
        <w:rPr>
          <w:rFonts w:ascii="宋体" w:hAnsi="宋体" w:eastAsia="宋体" w:cs="宋体"/>
          <w:sz w:val="24"/>
        </w:rPr>
        <w:br w:type="page"/>
      </w:r>
    </w:p>
    <w:p>
      <w:pPr>
        <w:spacing w:line="360" w:lineRule="auto"/>
        <w:outlineLvl w:val="1"/>
        <w:rPr>
          <w:rFonts w:asciiTheme="minorEastAsia" w:hAnsiTheme="minorEastAsia"/>
          <w:sz w:val="24"/>
        </w:rPr>
      </w:pPr>
      <w:bookmarkStart w:id="74" w:name="_Toc10679"/>
      <w:r>
        <w:rPr>
          <w:rFonts w:hint="eastAsia" w:ascii="宋体" w:hAnsi="宋体" w:eastAsia="宋体" w:cs="宋体"/>
          <w:sz w:val="24"/>
        </w:rPr>
        <w:t>2.预期效果</w:t>
      </w:r>
      <w:bookmarkEnd w:id="74"/>
    </w:p>
    <w:p>
      <w:pPr>
        <w:spacing w:line="360" w:lineRule="auto"/>
        <w:outlineLvl w:val="2"/>
        <w:rPr>
          <w:rFonts w:asciiTheme="minorEastAsia" w:hAnsiTheme="minorEastAsia"/>
          <w:szCs w:val="21"/>
        </w:rPr>
      </w:pPr>
      <w:bookmarkStart w:id="75" w:name="_Toc25804"/>
      <w:r>
        <w:rPr>
          <w:rFonts w:asciiTheme="minorEastAsia" w:hAnsiTheme="minorEastAsia"/>
          <w:szCs w:val="21"/>
        </w:rPr>
        <w:t>2.1</w:t>
      </w:r>
      <w:r>
        <w:rPr>
          <w:rFonts w:hint="eastAsia" w:asciiTheme="minorEastAsia" w:hAnsiTheme="minorEastAsia"/>
          <w:szCs w:val="21"/>
        </w:rPr>
        <w:t>经济效益</w:t>
      </w:r>
      <w:bookmarkEnd w:id="75"/>
    </w:p>
    <w:p>
      <w:pPr>
        <w:widowControl/>
        <w:shd w:val="clear" w:color="auto" w:fill="FFFFFF"/>
        <w:spacing w:line="360" w:lineRule="auto"/>
        <w:ind w:firstLine="480"/>
        <w:jc w:val="left"/>
        <w:rPr>
          <w:rFonts w:ascii="宋体" w:hAnsi="宋体" w:eastAsia="宋体"/>
        </w:rPr>
      </w:pPr>
      <w:r>
        <w:rPr>
          <w:rFonts w:hint="eastAsia" w:ascii="宋体" w:hAnsi="宋体" w:eastAsia="宋体"/>
        </w:rPr>
        <w:t>好孩子食品作为一家初创型的企业，目前企业月经营额约为120万元。据前述可行性分析的结果，公司的广告投入预计为50万元，同时我们根据预估公司各方面的投入推算出公司未来成本，与同类公司对比分析，得到公司开辟线上渠道后的营业额，预测模型如图5</w:t>
      </w:r>
      <w:r>
        <w:rPr>
          <w:rFonts w:ascii="宋体" w:hAnsi="宋体" w:eastAsia="宋体"/>
        </w:rPr>
        <w:t>2</w:t>
      </w:r>
      <w:r>
        <w:rPr>
          <w:rFonts w:hint="eastAsia" w:ascii="宋体" w:hAnsi="宋体" w:eastAsia="宋体"/>
        </w:rPr>
        <w:t>所示：</w:t>
      </w:r>
    </w:p>
    <w:p>
      <w:pPr>
        <w:widowControl/>
        <w:shd w:val="clear" w:color="auto" w:fill="FFFFFF"/>
        <w:spacing w:line="360" w:lineRule="auto"/>
        <w:ind w:firstLine="480"/>
        <w:jc w:val="center"/>
        <w:rPr>
          <w:rFonts w:ascii="宋体" w:hAnsi="宋体" w:eastAsia="宋体"/>
        </w:rPr>
      </w:pPr>
      <w:r>
        <w:rPr>
          <w:rFonts w:ascii="宋体" w:hAnsi="宋体" w:eastAsia="宋体"/>
        </w:rPr>
        <w:drawing>
          <wp:inline distT="0" distB="0" distL="114300" distR="114300">
            <wp:extent cx="3437255" cy="2839720"/>
            <wp:effectExtent l="0" t="0" r="0" b="0"/>
            <wp:docPr id="14" name="图片 14"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3)"/>
                    <pic:cNvPicPr>
                      <a:picLocks noChangeAspect="1"/>
                    </pic:cNvPicPr>
                  </pic:nvPicPr>
                  <pic:blipFill>
                    <a:blip r:embed="rId68"/>
                    <a:stretch>
                      <a:fillRect/>
                    </a:stretch>
                  </pic:blipFill>
                  <pic:spPr>
                    <a:xfrm>
                      <a:off x="0" y="0"/>
                      <a:ext cx="3437255" cy="2839720"/>
                    </a:xfrm>
                    <a:prstGeom prst="rect">
                      <a:avLst/>
                    </a:prstGeom>
                  </pic:spPr>
                </pic:pic>
              </a:graphicData>
            </a:graphic>
          </wp:inline>
        </w:drawing>
      </w:r>
    </w:p>
    <w:p>
      <w:pPr>
        <w:widowControl/>
        <w:shd w:val="clear" w:color="auto" w:fill="FFFFFF"/>
        <w:spacing w:line="360" w:lineRule="auto"/>
        <w:ind w:firstLine="480"/>
        <w:jc w:val="center"/>
        <w:rPr>
          <w:rFonts w:ascii="宋体" w:hAnsi="宋体" w:eastAsia="宋体"/>
        </w:rPr>
      </w:pPr>
      <w:r>
        <w:rPr>
          <w:rFonts w:hint="eastAsia" w:ascii="宋体" w:hAnsi="宋体" w:eastAsia="宋体" w:cs="宋体"/>
          <w:sz w:val="18"/>
          <w:szCs w:val="18"/>
        </w:rPr>
        <w:t>图52 盈利预测模型</w:t>
      </w:r>
    </w:p>
    <w:p>
      <w:pPr>
        <w:widowControl/>
        <w:shd w:val="clear" w:color="auto" w:fill="FFFFFF"/>
        <w:spacing w:line="360" w:lineRule="auto"/>
        <w:ind w:firstLine="480"/>
        <w:jc w:val="left"/>
        <w:rPr>
          <w:rFonts w:ascii="宋体" w:hAnsi="宋体" w:eastAsia="宋体"/>
        </w:rPr>
      </w:pPr>
      <w:r>
        <w:rPr>
          <w:rFonts w:hint="eastAsia" w:ascii="宋体" w:hAnsi="宋体" w:eastAsia="宋体" w:cs="宋体"/>
        </w:rPr>
        <w:t>通过模型估计，好孩子食品一年内预期实现净利润提升50%，主营业务产品市场占有率同比增长30%。未来公司在其他婴童产品赛道稳定发力也将带来公司营业额的快速增长。</w:t>
      </w:r>
    </w:p>
    <w:p>
      <w:pPr>
        <w:spacing w:line="360" w:lineRule="auto"/>
        <w:outlineLvl w:val="2"/>
        <w:rPr>
          <w:rFonts w:asciiTheme="minorEastAsia" w:hAnsiTheme="minorEastAsia"/>
          <w:szCs w:val="21"/>
        </w:rPr>
      </w:pPr>
      <w:bookmarkStart w:id="76" w:name="_Toc20095"/>
      <w:r>
        <w:rPr>
          <w:rFonts w:asciiTheme="minorEastAsia" w:hAnsiTheme="minorEastAsia"/>
          <w:szCs w:val="21"/>
        </w:rPr>
        <w:t>2.2</w:t>
      </w:r>
      <w:r>
        <w:rPr>
          <w:rFonts w:hint="eastAsia" w:asciiTheme="minorEastAsia" w:hAnsiTheme="minorEastAsia"/>
          <w:szCs w:val="21"/>
        </w:rPr>
        <w:t>品牌效益</w:t>
      </w:r>
      <w:bookmarkEnd w:id="76"/>
    </w:p>
    <w:p>
      <w:pPr>
        <w:widowControl/>
        <w:shd w:val="clear" w:color="auto" w:fill="FFFFFF"/>
        <w:spacing w:line="360" w:lineRule="auto"/>
        <w:ind w:firstLine="480"/>
        <w:jc w:val="center"/>
        <w:rPr>
          <w:rFonts w:ascii="宋体" w:hAnsi="宋体" w:eastAsia="宋体"/>
        </w:rPr>
      </w:pPr>
      <w:r>
        <w:rPr>
          <w:rFonts w:hint="eastAsia" w:ascii="宋体" w:hAnsi="宋体" w:eastAsia="宋体"/>
        </w:rPr>
        <w:drawing>
          <wp:inline distT="0" distB="0" distL="114300" distR="114300">
            <wp:extent cx="3166110" cy="2122170"/>
            <wp:effectExtent l="0" t="0" r="3810" b="11430"/>
            <wp:docPr id="19" name="图片 19" descr="品牌效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品牌效益1"/>
                    <pic:cNvPicPr>
                      <a:picLocks noChangeAspect="1"/>
                    </pic:cNvPicPr>
                  </pic:nvPicPr>
                  <pic:blipFill>
                    <a:blip r:embed="rId69"/>
                    <a:srcRect r="1991" b="9906"/>
                    <a:stretch>
                      <a:fillRect/>
                    </a:stretch>
                  </pic:blipFill>
                  <pic:spPr>
                    <a:xfrm>
                      <a:off x="0" y="0"/>
                      <a:ext cx="3166110" cy="2122170"/>
                    </a:xfrm>
                    <a:prstGeom prst="rect">
                      <a:avLst/>
                    </a:prstGeom>
                  </pic:spPr>
                </pic:pic>
              </a:graphicData>
            </a:graphic>
          </wp:inline>
        </w:drawing>
      </w:r>
    </w:p>
    <w:p>
      <w:pPr>
        <w:widowControl/>
        <w:shd w:val="clear" w:color="auto" w:fill="FFFFFF"/>
        <w:spacing w:line="360" w:lineRule="auto"/>
        <w:ind w:firstLine="480"/>
        <w:jc w:val="center"/>
        <w:rPr>
          <w:rFonts w:ascii="宋体" w:hAnsi="宋体" w:eastAsia="宋体"/>
        </w:rPr>
      </w:pPr>
      <w:r>
        <w:rPr>
          <w:rFonts w:hint="eastAsia" w:ascii="宋体" w:hAnsi="宋体" w:eastAsia="宋体" w:cs="宋体"/>
          <w:sz w:val="18"/>
          <w:szCs w:val="18"/>
        </w:rPr>
        <w:t>图53 品牌效益变化模型</w:t>
      </w:r>
    </w:p>
    <w:p>
      <w:pPr>
        <w:widowControl/>
        <w:shd w:val="clear" w:color="auto" w:fill="FFFFFF"/>
        <w:spacing w:line="360" w:lineRule="auto"/>
        <w:ind w:firstLine="480"/>
        <w:jc w:val="left"/>
        <w:rPr>
          <w:rFonts w:ascii="宋体" w:hAnsi="宋体" w:eastAsia="宋体"/>
        </w:rPr>
      </w:pPr>
      <w:r>
        <w:rPr>
          <w:rFonts w:hint="eastAsia" w:ascii="宋体" w:hAnsi="宋体" w:eastAsia="宋体"/>
        </w:rPr>
        <w:t>根据图5</w:t>
      </w:r>
      <w:r>
        <w:rPr>
          <w:rFonts w:ascii="宋体" w:hAnsi="宋体" w:eastAsia="宋体"/>
        </w:rPr>
        <w:t>3</w:t>
      </w:r>
      <w:r>
        <w:rPr>
          <w:rFonts w:hint="eastAsia" w:ascii="宋体" w:hAnsi="宋体" w:eastAsia="宋体"/>
        </w:rPr>
        <w:t>所示，好孩子公司处于品牌效益变化模型的创建期，在这一阶段，品牌的远远低于投入低于品牌的产出。公司在一年时间内公司通过宣传和社会责任发力，塑造良好企业形象和品牌知名度，实现到提升期的过渡。</w:t>
      </w:r>
    </w:p>
    <w:p>
      <w:pPr>
        <w:widowControl/>
        <w:shd w:val="clear" w:color="auto" w:fill="FFFFFF"/>
        <w:spacing w:line="360" w:lineRule="auto"/>
        <w:ind w:firstLine="480"/>
        <w:rPr>
          <w:rFonts w:ascii="宋体" w:hAnsi="宋体" w:eastAsia="宋体"/>
        </w:rPr>
      </w:pPr>
      <w:r>
        <w:rPr>
          <w:rFonts w:hint="eastAsia" w:ascii="宋体" w:hAnsi="宋体" w:eastAsia="宋体"/>
        </w:rPr>
        <w:t>参考</w:t>
      </w:r>
      <w:r>
        <w:rPr>
          <w:rFonts w:hint="eastAsia"/>
        </w:rPr>
        <w:t>巴拉巴拉等竞品公司的成长历程，结合中国母婴市场发展趋势和好孩子食品预期广告宣传已经初创期企业的发展周期，预计</w:t>
      </w:r>
      <w:r>
        <w:rPr>
          <w:rFonts w:hint="eastAsia" w:ascii="宋体" w:hAnsi="宋体" w:eastAsia="宋体"/>
        </w:rPr>
        <w:t>三年左右初步形成自己特色化的ESG部门，持续助力企业品牌建设，预计五年内成长为深受消费者信赖的婴童产品品牌。</w:t>
      </w:r>
    </w:p>
    <w:p>
      <w:pPr>
        <w:spacing w:line="360" w:lineRule="auto"/>
        <w:outlineLvl w:val="2"/>
        <w:rPr>
          <w:rFonts w:asciiTheme="minorEastAsia" w:hAnsiTheme="minorEastAsia"/>
          <w:szCs w:val="21"/>
        </w:rPr>
      </w:pPr>
      <w:bookmarkStart w:id="77" w:name="_Toc23558"/>
      <w:r>
        <w:rPr>
          <w:rFonts w:asciiTheme="minorEastAsia" w:hAnsiTheme="minorEastAsia"/>
          <w:szCs w:val="21"/>
        </w:rPr>
        <w:t>2.3</w:t>
      </w:r>
      <w:r>
        <w:rPr>
          <w:rFonts w:hint="eastAsia" w:asciiTheme="minorEastAsia" w:hAnsiTheme="minorEastAsia"/>
          <w:szCs w:val="21"/>
        </w:rPr>
        <w:t>社会效益</w:t>
      </w:r>
      <w:bookmarkEnd w:id="77"/>
    </w:p>
    <w:p>
      <w:pPr>
        <w:spacing w:line="360" w:lineRule="auto"/>
        <w:ind w:firstLine="480"/>
        <w:rPr>
          <w:rFonts w:hint="eastAsia" w:ascii="宋体" w:hAnsi="宋体" w:eastAsia="宋体"/>
        </w:rPr>
        <w:sectPr>
          <w:headerReference r:id="rId17"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rPr>
        <w:t>参考公司分类的标准，好孩子食品为小型企业，根据企业的发展周期，预计一年内带动海南省就业300人，在保证产品质量的前提下，加强对特殊人群（贫困家庭、孤儿群体等）的定点帮扶，让孩子们都能够用上好的产品。</w:t>
      </w:r>
    </w:p>
    <w:p>
      <w:pPr>
        <w:spacing w:line="360" w:lineRule="auto"/>
        <w:outlineLvl w:val="0"/>
        <w:rPr>
          <w:rFonts w:ascii="宋体" w:hAnsi="宋体" w:eastAsia="宋体" w:cs="宋体"/>
          <w:sz w:val="28"/>
          <w:szCs w:val="28"/>
        </w:rPr>
      </w:pPr>
      <w:bookmarkStart w:id="78" w:name="_Toc16706"/>
      <w:r>
        <w:rPr>
          <w:rFonts w:hint="eastAsia" w:ascii="宋体" w:hAnsi="宋体" w:eastAsia="宋体" w:cs="宋体"/>
          <w:sz w:val="28"/>
          <w:szCs w:val="28"/>
        </w:rPr>
        <w:t>八、项目总结与建议</w:t>
      </w:r>
      <w:bookmarkEnd w:id="78"/>
    </w:p>
    <w:p>
      <w:pPr>
        <w:spacing w:line="360" w:lineRule="auto"/>
        <w:outlineLvl w:val="1"/>
        <w:rPr>
          <w:rFonts w:ascii="宋体" w:hAnsi="宋体" w:eastAsia="宋体" w:cs="宋体"/>
          <w:sz w:val="24"/>
        </w:rPr>
      </w:pPr>
      <w:bookmarkStart w:id="79" w:name="_Toc24330"/>
      <w:r>
        <w:rPr>
          <w:rFonts w:hint="eastAsia" w:ascii="宋体" w:hAnsi="宋体" w:eastAsia="宋体" w:cs="宋体"/>
          <w:sz w:val="24"/>
        </w:rPr>
        <w:t>1.婴童市场调研总结</w:t>
      </w:r>
      <w:bookmarkEnd w:id="79"/>
    </w:p>
    <w:p>
      <w:pPr>
        <w:spacing w:line="360" w:lineRule="auto"/>
        <w:outlineLvl w:val="2"/>
        <w:rPr>
          <w:rFonts w:ascii="宋体" w:hAnsi="宋体" w:eastAsia="宋体" w:cs="宋体"/>
          <w:szCs w:val="21"/>
        </w:rPr>
      </w:pPr>
      <w:bookmarkStart w:id="80" w:name="_Toc30826"/>
      <w:r>
        <w:rPr>
          <w:rFonts w:hint="eastAsia" w:ascii="宋体" w:hAnsi="宋体" w:eastAsia="宋体" w:cs="宋体"/>
          <w:szCs w:val="21"/>
        </w:rPr>
        <w:t>1.1 调研问题导向</w:t>
      </w:r>
      <w:bookmarkEnd w:id="80"/>
    </w:p>
    <w:p>
      <w:pPr>
        <w:spacing w:line="360" w:lineRule="auto"/>
        <w:ind w:firstLine="420" w:firstLineChars="200"/>
        <w:rPr>
          <w:rFonts w:ascii="宋体" w:hAnsi="宋体" w:eastAsia="宋体" w:cs="宋体"/>
        </w:rPr>
      </w:pPr>
      <w:r>
        <w:rPr>
          <w:rFonts w:hint="eastAsia" w:ascii="宋体" w:hAnsi="宋体" w:eastAsia="宋体" w:cs="宋体"/>
          <w:szCs w:val="21"/>
        </w:rPr>
        <w:t>婴童产品产业横跨婴童赛道、食品赛道及服装赛道等，而在中国目前生育率持续走低的大背景下，婴童产品目标用户的需求分析成为相关企业的一大关注重点。通过产业概况、客户群体与产品服务的调研背景分析，结合企业以婴童食品经营为主等概况，调研提出三大具体问题：对婴童产品行业的市场现状、规模及发展趋势模糊，缺乏清晰定位；结合企业初创情况细分产品市场，分析重点品类发展趋势；把握消费者购物习惯、趋势以及消费者偏好。</w:t>
      </w:r>
    </w:p>
    <w:p>
      <w:pPr>
        <w:spacing w:line="360" w:lineRule="auto"/>
        <w:outlineLvl w:val="2"/>
        <w:rPr>
          <w:rFonts w:ascii="宋体" w:hAnsi="宋体" w:eastAsia="宋体" w:cs="宋体"/>
          <w:szCs w:val="21"/>
        </w:rPr>
      </w:pPr>
      <w:bookmarkStart w:id="81" w:name="_Toc655"/>
      <w:r>
        <w:rPr>
          <w:rFonts w:hint="eastAsia" w:ascii="宋体" w:hAnsi="宋体" w:eastAsia="宋体" w:cs="宋体"/>
          <w:szCs w:val="21"/>
        </w:rPr>
        <w:t>1.2 信息收集与分析</w:t>
      </w:r>
      <w:bookmarkEnd w:id="81"/>
    </w:p>
    <w:p>
      <w:pPr>
        <w:spacing w:line="360" w:lineRule="auto"/>
        <w:ind w:firstLine="420" w:firstLineChars="200"/>
        <w:rPr>
          <w:rFonts w:ascii="宋体" w:hAnsi="宋体" w:eastAsia="宋体" w:cs="宋体"/>
          <w:szCs w:val="21"/>
        </w:rPr>
      </w:pPr>
      <w:r>
        <w:rPr>
          <w:rFonts w:hint="eastAsia" w:ascii="宋体" w:hAnsi="宋体" w:eastAsia="宋体" w:cs="宋体"/>
          <w:szCs w:val="21"/>
        </w:rPr>
        <w:t>此次调研主要通过问卷调查与网络数据及相关文献搜集展开，问卷调查包括线上与线下问卷发放，其中线下问卷主要为母婴实体店工作人员与在店消费者。所以，此次调查的数据来源分别为通过问卷发放而收集到的数据，以及通过大量网上相关信息、行业研报等整理而来的数据。</w:t>
      </w:r>
    </w:p>
    <w:p>
      <w:pPr>
        <w:spacing w:line="360" w:lineRule="auto"/>
        <w:ind w:firstLine="420" w:firstLineChars="200"/>
        <w:rPr>
          <w:rFonts w:ascii="宋体" w:hAnsi="宋体" w:eastAsia="宋体" w:cs="宋体"/>
          <w:szCs w:val="21"/>
        </w:rPr>
      </w:pPr>
      <w:r>
        <w:rPr>
          <w:rFonts w:hint="eastAsia" w:ascii="宋体" w:hAnsi="宋体" w:eastAsia="宋体" w:cs="宋体"/>
          <w:szCs w:val="21"/>
        </w:rPr>
        <w:t>在问卷方面，调研重点在确定调研问题，设计调研问卷，问卷数据分析方面，问卷设计从婴童产品概况到重点品类层层深入。从结果来看，收集有效答卷290份，从市场、产品、消费者三大方向都有相关问题的回答，为调研提供了宝贵的数据信息。</w:t>
      </w:r>
    </w:p>
    <w:p>
      <w:pPr>
        <w:spacing w:line="360" w:lineRule="auto"/>
        <w:ind w:firstLine="420" w:firstLineChars="200"/>
        <w:rPr>
          <w:rFonts w:ascii="宋体" w:hAnsi="宋体" w:eastAsia="宋体" w:cs="宋体"/>
        </w:rPr>
      </w:pPr>
      <w:r>
        <w:rPr>
          <w:rFonts w:hint="eastAsia" w:ascii="宋体" w:hAnsi="宋体" w:eastAsia="宋体" w:cs="宋体"/>
          <w:szCs w:val="21"/>
        </w:rPr>
        <w:t>在网络数据及相关文献搜集方面，此次调研针对目标用户爬取了小红书和抖音平台关于婴童的相关数据并进行分析，为解决产品</w:t>
      </w:r>
      <w:r>
        <w:rPr>
          <w:rFonts w:hint="eastAsia" w:ascii="宋体" w:hAnsi="宋体" w:eastAsia="宋体" w:cs="宋体"/>
        </w:rPr>
        <w:t>偏好、种草渠道等问题提供数据分析。此外，大量的行业研报也为调研背景、调研对象等提供参考。</w:t>
      </w:r>
    </w:p>
    <w:p>
      <w:pPr>
        <w:spacing w:line="360" w:lineRule="auto"/>
        <w:outlineLvl w:val="1"/>
        <w:rPr>
          <w:rFonts w:ascii="宋体" w:hAnsi="宋体" w:eastAsia="宋体" w:cs="宋体"/>
          <w:sz w:val="24"/>
        </w:rPr>
      </w:pPr>
      <w:bookmarkStart w:id="82" w:name="_Toc5632"/>
      <w:r>
        <w:rPr>
          <w:rFonts w:hint="eastAsia" w:ascii="宋体" w:hAnsi="宋体" w:eastAsia="宋体" w:cs="宋体"/>
          <w:sz w:val="24"/>
        </w:rPr>
        <w:t>2.商业策划总结</w:t>
      </w:r>
      <w:bookmarkEnd w:id="82"/>
    </w:p>
    <w:p>
      <w:pPr>
        <w:spacing w:line="360" w:lineRule="auto"/>
        <w:ind w:firstLine="420" w:firstLineChars="200"/>
        <w:rPr>
          <w:rFonts w:ascii="宋体" w:hAnsi="宋体" w:eastAsia="宋体" w:cs="宋体"/>
          <w:szCs w:val="21"/>
        </w:rPr>
      </w:pPr>
      <w:r>
        <w:rPr>
          <w:rFonts w:hint="eastAsia" w:ascii="宋体" w:hAnsi="宋体" w:eastAsia="宋体" w:cs="宋体"/>
          <w:szCs w:val="21"/>
        </w:rPr>
        <w:t>根据调研结果对于婴童产品市场、目标用户定位以及购物种草行为的解读，目前，母婴行业、食品行业均面临流量红利消失困境，婴童食品成为拓品类的重要选择，叠加社会需求增加且精细化，婴童食品迎来供给、需求双向提升，具有广阔的市场发展前景。在此结果下，参考STP策略分析，并从产品本身与营销策划了具体实施方案。</w:t>
      </w:r>
    </w:p>
    <w:p>
      <w:pPr>
        <w:spacing w:line="360" w:lineRule="auto"/>
        <w:ind w:firstLine="420" w:firstLineChars="200"/>
        <w:rPr>
          <w:rFonts w:ascii="宋体" w:hAnsi="宋体" w:eastAsia="宋体" w:cs="宋体"/>
          <w:szCs w:val="21"/>
        </w:rPr>
      </w:pPr>
      <w:r>
        <w:rPr>
          <w:rFonts w:hint="eastAsia" w:ascii="宋体" w:hAnsi="宋体" w:eastAsia="宋体" w:cs="宋体"/>
          <w:szCs w:val="21"/>
        </w:rPr>
        <w:t>从产品本身角度，在产品层面提出层次化产品策略满足市场需求精细化，以及发展核心产品策略，以安全与专业为主打，提升企业产品力。在价格层面，定价上采取顾客差别定价与折扣定价。</w:t>
      </w:r>
    </w:p>
    <w:p>
      <w:pPr>
        <w:spacing w:line="360" w:lineRule="auto"/>
        <w:ind w:firstLine="420" w:firstLineChars="200"/>
        <w:rPr>
          <w:rFonts w:ascii="宋体" w:hAnsi="宋体" w:eastAsia="宋体" w:cs="宋体"/>
          <w:szCs w:val="21"/>
        </w:rPr>
      </w:pPr>
      <w:r>
        <w:rPr>
          <w:rFonts w:hint="eastAsia" w:ascii="宋体" w:hAnsi="宋体" w:eastAsia="宋体" w:cs="宋体"/>
          <w:szCs w:val="21"/>
        </w:rPr>
        <w:t>从营销角度，在渠道方面利用调研结果中对目标用户购物种草偏好渠道的分析结果，综合考虑线下线上全渠道深化发展。在促销方式的选择上提出采取目标用户偏好的促销方式，主要为活动促销与媒体促销。</w:t>
      </w:r>
    </w:p>
    <w:p>
      <w:pPr>
        <w:spacing w:line="360" w:lineRule="auto"/>
        <w:outlineLvl w:val="1"/>
        <w:rPr>
          <w:rFonts w:ascii="宋体" w:hAnsi="宋体" w:eastAsia="宋体" w:cs="宋体"/>
          <w:sz w:val="24"/>
        </w:rPr>
      </w:pPr>
      <w:bookmarkStart w:id="83" w:name="_Toc26623"/>
      <w:r>
        <w:rPr>
          <w:rFonts w:hint="eastAsia" w:ascii="宋体" w:hAnsi="宋体" w:eastAsia="宋体" w:cs="宋体"/>
          <w:sz w:val="24"/>
        </w:rPr>
        <w:t>3.价值与意义</w:t>
      </w:r>
      <w:bookmarkEnd w:id="83"/>
    </w:p>
    <w:p>
      <w:pPr>
        <w:spacing w:line="360" w:lineRule="auto"/>
        <w:ind w:firstLine="420" w:firstLineChars="200"/>
        <w:rPr>
          <w:rFonts w:ascii="宋体" w:hAnsi="宋体" w:eastAsia="宋体" w:cs="宋体"/>
          <w:szCs w:val="21"/>
        </w:rPr>
      </w:pPr>
      <w:r>
        <w:rPr>
          <w:rFonts w:hint="eastAsia" w:ascii="宋体" w:hAnsi="宋体" w:eastAsia="宋体" w:cs="宋体"/>
          <w:szCs w:val="21"/>
        </w:rPr>
        <w:t>项目书从婴童产品市场切入，直击部分网红品牌难以长红的痛点，为企业构建品牌围墙提供可行有效的实施方案。</w:t>
      </w:r>
    </w:p>
    <w:p>
      <w:pPr>
        <w:spacing w:line="360" w:lineRule="auto"/>
        <w:ind w:firstLine="420" w:firstLineChars="200"/>
        <w:rPr>
          <w:rFonts w:ascii="宋体" w:hAnsi="宋体" w:eastAsia="宋体" w:cs="宋体"/>
          <w:szCs w:val="21"/>
        </w:rPr>
      </w:pPr>
      <w:r>
        <w:rPr>
          <w:rFonts w:hint="eastAsia" w:ascii="宋体" w:hAnsi="宋体" w:eastAsia="宋体" w:cs="宋体"/>
          <w:szCs w:val="21"/>
        </w:rPr>
        <w:t>整个调研以及策划首先进行底层数据的收集与分析，再利用技术手段比如数字建模、合适算法等，为实现预期效果提出可行性方案，具有科学性与高效性。</w:t>
      </w:r>
    </w:p>
    <w:p>
      <w:pPr>
        <w:spacing w:line="360" w:lineRule="auto"/>
        <w:outlineLvl w:val="1"/>
        <w:rPr>
          <w:rFonts w:ascii="宋体" w:hAnsi="宋体" w:eastAsia="宋体" w:cs="宋体"/>
          <w:sz w:val="24"/>
        </w:rPr>
      </w:pPr>
      <w:bookmarkStart w:id="84" w:name="_Toc10046"/>
      <w:r>
        <w:rPr>
          <w:rFonts w:hint="eastAsia" w:ascii="宋体" w:hAnsi="宋体" w:eastAsia="宋体" w:cs="宋体"/>
          <w:sz w:val="24"/>
        </w:rPr>
        <w:t>4.相关策略建议</w:t>
      </w:r>
      <w:bookmarkEnd w:id="84"/>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 对于婴童企业而言，产品</w:t>
      </w:r>
      <w:r>
        <w:rPr>
          <w:rFonts w:hint="eastAsia" w:ascii="宋体" w:hAnsi="宋体" w:eastAsia="宋体" w:cs="宋体"/>
          <w:szCs w:val="21"/>
          <w:lang w:val="en-US" w:eastAsia="zh-CN"/>
        </w:rPr>
        <w:t>竞争</w:t>
      </w:r>
      <w:r>
        <w:rPr>
          <w:rFonts w:hint="eastAsia" w:ascii="宋体" w:hAnsi="宋体" w:eastAsia="宋体" w:cs="宋体"/>
          <w:szCs w:val="21"/>
        </w:rPr>
        <w:t>力、渠道力、价格力、品牌力永远是在激烈的市场环境下形成竞争力的四大核心要素，四者相辅相成，所以从四大因素，针对性提出相关建议。</w:t>
      </w:r>
    </w:p>
    <w:p>
      <w:pPr>
        <w:spacing w:line="360" w:lineRule="auto"/>
        <w:ind w:firstLine="420" w:firstLineChars="200"/>
        <w:rPr>
          <w:rFonts w:ascii="宋体" w:hAnsi="宋体" w:eastAsia="宋体" w:cs="宋体"/>
          <w:szCs w:val="21"/>
        </w:rPr>
      </w:pPr>
      <w:r>
        <w:rPr>
          <w:rFonts w:hint="eastAsia" w:ascii="宋体" w:hAnsi="宋体" w:eastAsia="宋体" w:cs="宋体"/>
          <w:szCs w:val="21"/>
        </w:rPr>
        <w:t>另一方面，针对“好孩子”具体需求以及后续发展，提出开拓市场，转型为综合性品类生产的婴童企业的建议。</w:t>
      </w:r>
    </w:p>
    <w:p>
      <w:pPr>
        <w:spacing w:line="360" w:lineRule="auto"/>
        <w:outlineLvl w:val="2"/>
        <w:rPr>
          <w:rFonts w:ascii="宋体" w:hAnsi="宋体" w:eastAsia="宋体" w:cs="宋体"/>
          <w:szCs w:val="21"/>
        </w:rPr>
      </w:pPr>
      <w:bookmarkStart w:id="85" w:name="_Toc31545"/>
      <w:r>
        <w:rPr>
          <w:rFonts w:hint="eastAsia" w:ascii="宋体" w:hAnsi="宋体" w:eastAsia="宋体" w:cs="宋体"/>
          <w:szCs w:val="21"/>
        </w:rPr>
        <w:t>4.1提升产品</w:t>
      </w:r>
      <w:r>
        <w:rPr>
          <w:rFonts w:hint="eastAsia" w:ascii="宋体" w:hAnsi="宋体" w:eastAsia="宋体" w:cs="宋体"/>
          <w:szCs w:val="21"/>
          <w:lang w:val="en-US" w:eastAsia="zh-CN"/>
        </w:rPr>
        <w:t>竞争</w:t>
      </w:r>
      <w:r>
        <w:rPr>
          <w:rFonts w:hint="eastAsia" w:ascii="宋体" w:hAnsi="宋体" w:eastAsia="宋体" w:cs="宋体"/>
          <w:szCs w:val="21"/>
        </w:rPr>
        <w:t>力</w:t>
      </w:r>
      <w:bookmarkEnd w:id="85"/>
    </w:p>
    <w:p>
      <w:pPr>
        <w:spacing w:line="360" w:lineRule="auto"/>
        <w:ind w:firstLine="420" w:firstLineChars="200"/>
        <w:rPr>
          <w:rFonts w:ascii="宋体" w:hAnsi="宋体" w:eastAsia="宋体" w:cs="宋体"/>
          <w:szCs w:val="21"/>
        </w:rPr>
      </w:pPr>
      <w:r>
        <w:rPr>
          <w:rFonts w:hint="eastAsia" w:ascii="宋体" w:hAnsi="宋体" w:eastAsia="宋体" w:cs="宋体"/>
          <w:szCs w:val="21"/>
        </w:rPr>
        <w:t>健康、安全、创新的产品是婴童食品形成企业竞争力的根本因素。婴童食品产品同质化严重、且安全性无法得到保障，企业加大产品功能性创新，并针对不同年龄做专门性研发，同时在成分、制作流程等上对安全进行严格把关。</w:t>
      </w:r>
    </w:p>
    <w:p>
      <w:pPr>
        <w:spacing w:line="360" w:lineRule="auto"/>
        <w:outlineLvl w:val="2"/>
        <w:rPr>
          <w:rFonts w:ascii="宋体" w:hAnsi="宋体" w:eastAsia="宋体" w:cs="宋体"/>
          <w:szCs w:val="21"/>
        </w:rPr>
      </w:pPr>
      <w:bookmarkStart w:id="86" w:name="_Toc30163"/>
      <w:r>
        <w:rPr>
          <w:rFonts w:hint="eastAsia" w:ascii="宋体" w:hAnsi="宋体" w:eastAsia="宋体" w:cs="宋体"/>
          <w:szCs w:val="21"/>
        </w:rPr>
        <w:t>4.2线上线下渠道一体化</w:t>
      </w:r>
      <w:bookmarkEnd w:id="86"/>
    </w:p>
    <w:p>
      <w:pPr>
        <w:spacing w:line="360" w:lineRule="auto"/>
        <w:ind w:firstLine="420" w:firstLineChars="200"/>
        <w:rPr>
          <w:rFonts w:ascii="宋体" w:hAnsi="宋体" w:eastAsia="宋体" w:cs="宋体"/>
          <w:szCs w:val="21"/>
        </w:rPr>
      </w:pPr>
      <w:r>
        <w:rPr>
          <w:rFonts w:hint="eastAsia" w:ascii="宋体" w:hAnsi="宋体" w:eastAsia="宋体" w:cs="宋体"/>
          <w:szCs w:val="21"/>
        </w:rPr>
        <w:t>渠道建设是婴童食品企业制胜市场的关键，多元化渠道下考验企业开拓力。作为初创企业，不要过度依赖线上渠道，打造线上线下一体化的渠道体系，重视线上电商的同时，也应注意母婴专卖店依然是家长最信赖的购买渠道。</w:t>
      </w:r>
    </w:p>
    <w:p>
      <w:pPr>
        <w:spacing w:line="360" w:lineRule="auto"/>
        <w:outlineLvl w:val="2"/>
        <w:rPr>
          <w:rFonts w:ascii="宋体" w:hAnsi="宋体" w:eastAsia="宋体" w:cs="宋体"/>
          <w:szCs w:val="21"/>
        </w:rPr>
      </w:pPr>
      <w:bookmarkStart w:id="87" w:name="_Toc24405"/>
      <w:r>
        <w:rPr>
          <w:rFonts w:hint="eastAsia" w:ascii="宋体" w:hAnsi="宋体" w:eastAsia="宋体" w:cs="宋体"/>
          <w:szCs w:val="21"/>
        </w:rPr>
        <w:t>4.3多元价格策略</w:t>
      </w:r>
      <w:bookmarkEnd w:id="87"/>
    </w:p>
    <w:p>
      <w:pPr>
        <w:spacing w:line="360" w:lineRule="auto"/>
        <w:ind w:firstLine="420" w:firstLineChars="200"/>
        <w:rPr>
          <w:rFonts w:ascii="宋体" w:hAnsi="宋体" w:eastAsia="宋体" w:cs="宋体"/>
          <w:szCs w:val="21"/>
        </w:rPr>
      </w:pPr>
      <w:r>
        <w:rPr>
          <w:rFonts w:hint="eastAsia" w:ascii="宋体" w:hAnsi="宋体" w:eastAsia="宋体" w:cs="宋体"/>
          <w:szCs w:val="21"/>
        </w:rPr>
        <w:t>价格影响品牌定位，并对销售业绩产生直接影响。当前我国婴童食品企业主要靠低价策略吸引顾客，建议企业推行多元价格策略，高价产品主要为提升品牌形象，低价产品主要提高销售业绩，扩大市场规模。</w:t>
      </w:r>
    </w:p>
    <w:p>
      <w:pPr>
        <w:spacing w:line="360" w:lineRule="auto"/>
        <w:outlineLvl w:val="2"/>
        <w:rPr>
          <w:rFonts w:ascii="宋体" w:hAnsi="宋体" w:eastAsia="宋体" w:cs="宋体"/>
          <w:szCs w:val="21"/>
        </w:rPr>
      </w:pPr>
      <w:bookmarkStart w:id="88" w:name="_Toc8205"/>
      <w:r>
        <w:rPr>
          <w:rFonts w:hint="eastAsia" w:ascii="宋体" w:hAnsi="宋体" w:eastAsia="宋体" w:cs="宋体"/>
          <w:szCs w:val="21"/>
        </w:rPr>
        <w:t>4.4提高品牌效应</w:t>
      </w:r>
      <w:bookmarkEnd w:id="88"/>
    </w:p>
    <w:p>
      <w:pPr>
        <w:spacing w:line="360" w:lineRule="auto"/>
        <w:ind w:firstLine="420" w:firstLineChars="200"/>
        <w:rPr>
          <w:rFonts w:ascii="宋体" w:hAnsi="宋体" w:eastAsia="宋体" w:cs="宋体"/>
          <w:szCs w:val="21"/>
        </w:rPr>
      </w:pPr>
      <w:r>
        <w:rPr>
          <w:rFonts w:hint="eastAsia" w:ascii="宋体" w:hAnsi="宋体" w:eastAsia="宋体" w:cs="宋体"/>
          <w:szCs w:val="21"/>
        </w:rPr>
        <w:t>品牌效应可以助推企业产品销售，扩大企业市场占有率。当前消费者对国产婴童食品品牌的信任度仍有待提升，针对于此，企业应加大产品研发力度以提高产品质量，借助合规的、多样化营销方式以提高品牌及产品的信任度及知名度。</w:t>
      </w:r>
    </w:p>
    <w:p>
      <w:pPr>
        <w:spacing w:line="360" w:lineRule="auto"/>
        <w:outlineLvl w:val="2"/>
        <w:rPr>
          <w:rFonts w:ascii="宋体" w:hAnsi="宋体" w:eastAsia="宋体" w:cs="宋体"/>
          <w:sz w:val="24"/>
        </w:rPr>
      </w:pPr>
      <w:r>
        <w:rPr>
          <w:rFonts w:hint="eastAsia" w:ascii="宋体" w:hAnsi="宋体" w:eastAsia="宋体" w:cs="宋体"/>
          <w:sz w:val="24"/>
        </w:rPr>
        <w:br w:type="page"/>
      </w:r>
    </w:p>
    <w:p>
      <w:pPr>
        <w:spacing w:line="360" w:lineRule="auto"/>
        <w:outlineLvl w:val="2"/>
        <w:rPr>
          <w:rFonts w:ascii="宋体" w:hAnsi="宋体" w:eastAsia="宋体" w:cs="宋体"/>
          <w:szCs w:val="21"/>
        </w:rPr>
      </w:pPr>
      <w:bookmarkStart w:id="89" w:name="_Toc2714"/>
      <w:r>
        <w:rPr>
          <w:rFonts w:hint="eastAsia" w:ascii="宋体" w:hAnsi="宋体" w:eastAsia="宋体" w:cs="宋体"/>
          <w:szCs w:val="21"/>
        </w:rPr>
        <w:t>4.5转型升级为综合性婴童企业</w:t>
      </w:r>
      <w:bookmarkEnd w:id="89"/>
    </w:p>
    <w:p>
      <w:pPr>
        <w:spacing w:line="360" w:lineRule="auto"/>
        <w:ind w:firstLine="420" w:firstLineChars="200"/>
        <w:rPr>
          <w:rFonts w:hint="eastAsia" w:ascii="宋体" w:hAnsi="宋体" w:eastAsia="宋体" w:cs="宋体"/>
          <w:szCs w:val="21"/>
        </w:rPr>
        <w:sectPr>
          <w:headerReference r:id="rId18"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Cs w:val="21"/>
        </w:rPr>
        <w:t>在依靠婴童食品突围的同时，企业可瞄准综合性大品牌方向，开发其他婴童产品，品类多样化发展，利用婴童食品已有业务共享供应链、渠道，可以较大程度压缩成本，并在早期阶段实现规模化发展。从长远看，婴童食品用户和相关客群承接性强，有利于增强用户对品牌粘性，综合性发展也有利于品牌知名度，构建品牌围墙。</w:t>
      </w:r>
    </w:p>
    <w:p>
      <w:pPr>
        <w:spacing w:line="360" w:lineRule="auto"/>
        <w:outlineLvl w:val="0"/>
        <w:rPr>
          <w:rFonts w:ascii="宋体" w:hAnsi="宋体" w:eastAsia="宋体"/>
          <w:sz w:val="21"/>
          <w:szCs w:val="21"/>
        </w:rPr>
      </w:pPr>
      <w:bookmarkStart w:id="90" w:name="_Toc6020"/>
      <w:r>
        <w:rPr>
          <w:rFonts w:hint="eastAsia" w:ascii="宋体" w:hAnsi="宋体" w:eastAsia="宋体"/>
          <w:sz w:val="21"/>
          <w:szCs w:val="21"/>
        </w:rPr>
        <w:t>参考文献</w:t>
      </w:r>
      <w:bookmarkEnd w:id="90"/>
    </w:p>
    <w:p>
      <w:pPr>
        <w:pStyle w:val="18"/>
        <w:spacing w:line="360" w:lineRule="auto"/>
        <w:ind w:firstLine="0" w:firstLineChars="0"/>
        <w:rPr>
          <w:rFonts w:ascii="宋体" w:hAnsi="宋体" w:eastAsia="宋体"/>
        </w:rPr>
      </w:pPr>
      <w:r>
        <w:rPr>
          <w:rFonts w:hint="eastAsia" w:ascii="宋体" w:hAnsi="宋体" w:eastAsia="宋体"/>
        </w:rPr>
        <w:t>[1]胡劲松,刘玉红,马德青.食品安全危机预测下食品供应链动态策略制定及协调[J/OL].中国管理科学:1-11[2022-09-13].DOI:10.16381/j.cnki.issn1003-207x.2020.1368.</w:t>
      </w:r>
    </w:p>
    <w:p>
      <w:pPr>
        <w:pStyle w:val="18"/>
        <w:spacing w:line="360" w:lineRule="auto"/>
        <w:ind w:firstLine="0" w:firstLineChars="0"/>
        <w:rPr>
          <w:rFonts w:hint="eastAsia" w:ascii="宋体" w:hAnsi="宋体" w:eastAsia="宋体"/>
        </w:rPr>
      </w:pPr>
      <w:r>
        <w:rPr>
          <w:rFonts w:hint="eastAsia" w:ascii="宋体" w:hAnsi="宋体" w:eastAsia="宋体"/>
        </w:rPr>
        <w:t>[</w:t>
      </w:r>
      <w:r>
        <w:rPr>
          <w:rFonts w:hint="eastAsia" w:ascii="宋体" w:hAnsi="宋体" w:eastAsia="宋体"/>
          <w:lang w:val="en-US" w:eastAsia="zh-CN"/>
        </w:rPr>
        <w:t>2</w:t>
      </w:r>
      <w:r>
        <w:rPr>
          <w:rFonts w:hint="eastAsia" w:ascii="宋体" w:hAnsi="宋体" w:eastAsia="宋体"/>
        </w:rPr>
        <w:t>]鲁芳,吴健,罗定提.考虑产品体验性和营销努力的分销渠道合作策略研究[J].中国管理科学,2020,28(10):144-155.DOI:10.16381/j.cnki.issn1003-207x.2020.10.014.</w:t>
      </w:r>
    </w:p>
    <w:p>
      <w:pPr>
        <w:pStyle w:val="18"/>
        <w:spacing w:line="360" w:lineRule="auto"/>
        <w:ind w:firstLine="0" w:firstLineChars="0"/>
        <w:rPr>
          <w:rFonts w:hint="eastAsia" w:ascii="宋体" w:hAnsi="宋体" w:eastAsia="宋体"/>
        </w:rPr>
      </w:pPr>
      <w:r>
        <w:rPr>
          <w:rFonts w:hint="eastAsia" w:ascii="宋体" w:hAnsi="宋体" w:eastAsia="宋体"/>
        </w:rPr>
        <w:t>[3]杨扬,刘圣,李宜威,贾建民.大数据营销:综述与展望[J].系统工程理论与实践,2020,40(08):2150-2158.</w:t>
      </w:r>
    </w:p>
    <w:p>
      <w:pPr>
        <w:pStyle w:val="18"/>
        <w:spacing w:line="360" w:lineRule="auto"/>
        <w:ind w:firstLine="0" w:firstLineChars="0"/>
        <w:jc w:val="left"/>
        <w:rPr>
          <w:rFonts w:ascii="宋体" w:hAnsi="宋体" w:eastAsia="宋体"/>
        </w:rPr>
      </w:pPr>
      <w:r>
        <w:rPr>
          <w:rFonts w:hint="eastAsia" w:ascii="宋体" w:hAnsi="宋体" w:eastAsia="宋体"/>
        </w:rPr>
        <w:t>[4]王先甲,吕少杰,全吉.产品售后服务捆绑销售与营销策略演化[J].系统工程理论与实践,2018,38(07):1740-1749.</w:t>
      </w:r>
    </w:p>
    <w:p>
      <w:pPr>
        <w:pStyle w:val="18"/>
        <w:spacing w:line="360" w:lineRule="auto"/>
        <w:ind w:firstLine="0" w:firstLineChars="0"/>
        <w:jc w:val="left"/>
        <w:rPr>
          <w:rFonts w:hint="eastAsia" w:ascii="宋体" w:hAnsi="宋体" w:eastAsia="宋体"/>
        </w:rPr>
      </w:pPr>
      <w:r>
        <w:rPr>
          <w:rFonts w:hint="eastAsia" w:ascii="宋体" w:hAnsi="宋体" w:eastAsia="宋体"/>
        </w:rPr>
        <w:t>[</w:t>
      </w:r>
      <w:r>
        <w:rPr>
          <w:rFonts w:ascii="宋体" w:hAnsi="宋体" w:eastAsia="宋体"/>
        </w:rPr>
        <w:t>5</w:t>
      </w:r>
      <w:r>
        <w:rPr>
          <w:rFonts w:hint="eastAsia" w:ascii="宋体" w:hAnsi="宋体" w:eastAsia="宋体"/>
        </w:rPr>
        <w:t>]张舒宁,李勇泉,阮文奇.接收、共鸣与分享：网络口碑推动网红餐饮粉丝效应的过程机理[J].南开管理评论,2021,24(03):37-51.</w:t>
      </w:r>
    </w:p>
    <w:p>
      <w:pPr>
        <w:pStyle w:val="18"/>
        <w:spacing w:line="360" w:lineRule="auto"/>
        <w:ind w:firstLine="0" w:firstLineChars="0"/>
        <w:jc w:val="left"/>
        <w:rPr>
          <w:rFonts w:ascii="宋体" w:hAnsi="宋体" w:eastAsia="宋体"/>
        </w:rPr>
      </w:pPr>
      <w:r>
        <w:rPr>
          <w:rFonts w:hint="eastAsia" w:ascii="宋体" w:hAnsi="宋体" w:eastAsia="宋体"/>
        </w:rPr>
        <w:t>[</w:t>
      </w:r>
      <w:r>
        <w:rPr>
          <w:rFonts w:ascii="宋体" w:hAnsi="宋体" w:eastAsia="宋体"/>
        </w:rPr>
        <w:t>6</w:t>
      </w:r>
      <w:r>
        <w:rPr>
          <w:rFonts w:hint="eastAsia" w:ascii="宋体" w:hAnsi="宋体" w:eastAsia="宋体"/>
        </w:rPr>
        <w:t>]陈琼,宋如萍.自媒体环境下母婴行业的发展现状及趋势分析[J].营销界,2021(07):19-20.</w:t>
      </w:r>
    </w:p>
    <w:p>
      <w:pPr>
        <w:pStyle w:val="18"/>
        <w:spacing w:line="360" w:lineRule="auto"/>
        <w:ind w:firstLine="0" w:firstLineChars="0"/>
        <w:rPr>
          <w:rFonts w:hint="eastAsia" w:ascii="宋体" w:hAnsi="宋体" w:eastAsia="宋体"/>
        </w:rPr>
      </w:pPr>
      <w:r>
        <w:rPr>
          <w:rFonts w:hint="eastAsia" w:ascii="宋体" w:hAnsi="宋体" w:eastAsia="宋体"/>
        </w:rPr>
        <w:t>[7].孟陆,刘凤军,陈斯允,段珅.我可以唤起你吗——不同类型直播网红信息源特性对消费者购买意愿的影响机制研究[J].南开管理评论,2020,23(01):131-143.</w:t>
      </w:r>
    </w:p>
    <w:p>
      <w:pPr>
        <w:pStyle w:val="18"/>
        <w:spacing w:line="360" w:lineRule="auto"/>
        <w:ind w:firstLine="0" w:firstLineChars="0"/>
        <w:jc w:val="left"/>
        <w:rPr>
          <w:rFonts w:hint="eastAsia" w:ascii="宋体" w:hAnsi="宋体" w:eastAsia="宋体"/>
        </w:rPr>
      </w:pPr>
      <w:r>
        <w:rPr>
          <w:rFonts w:hint="eastAsia" w:ascii="宋体" w:hAnsi="宋体" w:eastAsia="宋体"/>
        </w:rPr>
        <w:t>[8]Raju R ,  Bhadange S</w:t>
      </w:r>
      <w:r>
        <w:rPr>
          <w:rFonts w:hint="eastAsia" w:ascii="宋体" w:hAnsi="宋体" w:eastAsia="宋体"/>
          <w:lang w:val="en-US" w:eastAsia="zh-CN"/>
        </w:rPr>
        <w:t>,</w:t>
      </w:r>
      <w:r>
        <w:rPr>
          <w:rFonts w:hint="eastAsia" w:ascii="宋体" w:hAnsi="宋体" w:eastAsia="宋体"/>
        </w:rPr>
        <w:t>Rakshit S . FirstCry: A Hybrid Store Strategy Creating Big Wonders![J]. Asian Journal of Management Cases, 2021, 18.</w:t>
      </w:r>
    </w:p>
    <w:p>
      <w:pPr>
        <w:pStyle w:val="18"/>
        <w:spacing w:line="360" w:lineRule="auto"/>
        <w:ind w:firstLine="0" w:firstLineChars="0"/>
        <w:jc w:val="left"/>
        <w:rPr>
          <w:rFonts w:hint="eastAsia" w:ascii="宋体" w:hAnsi="宋体" w:eastAsia="宋体"/>
        </w:rPr>
      </w:pPr>
      <w:r>
        <w:rPr>
          <w:rFonts w:hint="eastAsia" w:ascii="宋体" w:hAnsi="宋体" w:eastAsia="宋体"/>
        </w:rPr>
        <w:t>[9]Mahama-Musah F ,  Schoutteet P ,  Vanhaverbeke L . Using online data for offline decisions: A geostatistical approach for evaluating the patronage potential of a baby-care retailer[J]. Journal of retailing and consumer services, 2021(62-Sep.).</w:t>
      </w:r>
    </w:p>
    <w:p>
      <w:pPr>
        <w:pStyle w:val="18"/>
        <w:spacing w:line="360" w:lineRule="auto"/>
        <w:ind w:firstLine="0" w:firstLineChars="0"/>
        <w:jc w:val="left"/>
        <w:rPr>
          <w:rFonts w:hint="eastAsia" w:ascii="宋体" w:hAnsi="宋体" w:eastAsia="宋体"/>
        </w:rPr>
      </w:pPr>
      <w:r>
        <w:rPr>
          <w:rFonts w:hint="eastAsia" w:ascii="宋体" w:hAnsi="宋体" w:eastAsia="宋体"/>
        </w:rPr>
        <w:t>[10]Torre P ,  Salas M . The national market of infant formula[J]. Gaceta medica de Mexico, 2020, 155(6).</w:t>
      </w:r>
    </w:p>
    <w:p>
      <w:pPr>
        <w:pStyle w:val="18"/>
        <w:spacing w:line="360" w:lineRule="auto"/>
        <w:ind w:firstLine="0" w:firstLineChars="0"/>
        <w:jc w:val="left"/>
        <w:rPr>
          <w:rFonts w:hint="eastAsia" w:ascii="宋体" w:hAnsi="宋体" w:eastAsia="宋体"/>
          <w:lang w:val="en-US" w:eastAsia="zh-CN"/>
        </w:rPr>
      </w:pPr>
      <w:r>
        <w:rPr>
          <w:rFonts w:hint="eastAsia" w:ascii="宋体" w:hAnsi="宋体" w:eastAsia="宋体"/>
          <w:lang w:val="en-US" w:eastAsia="zh-CN"/>
        </w:rPr>
        <w:t>[11]BT A，DS C，AJ A，RA A，IM B，XF B，MC A，MM C，HMWDB D，EE C. Hazard Control through Processing and Preservation Technologies for Enhancing the Food Safety Management of Infant Food Chains[J]. Global Pediatrics, 2022.</w:t>
      </w:r>
    </w:p>
    <w:p>
      <w:pPr>
        <w:pStyle w:val="18"/>
        <w:spacing w:line="360" w:lineRule="auto"/>
        <w:ind w:firstLine="0" w:firstLineChars="0"/>
        <w:rPr>
          <w:rFonts w:hint="eastAsia" w:ascii="宋体" w:hAnsi="宋体" w:eastAsia="宋体"/>
        </w:rPr>
      </w:pPr>
    </w:p>
    <w:p>
      <w:pPr>
        <w:pStyle w:val="18"/>
        <w:spacing w:line="360" w:lineRule="auto"/>
        <w:ind w:firstLine="0" w:firstLineChars="0"/>
        <w:rPr>
          <w:rFonts w:hint="eastAsia" w:ascii="宋体" w:hAnsi="宋体" w:eastAsia="宋体"/>
          <w:lang w:val="en-US" w:eastAsia="zh-CN"/>
        </w:rPr>
        <w:sectPr>
          <w:headerReference r:id="rId19" w:type="default"/>
          <w:pgSz w:w="11906" w:h="16838"/>
          <w:pgMar w:top="1440" w:right="1800" w:bottom="1440" w:left="1800" w:header="851" w:footer="992" w:gutter="0"/>
          <w:pgNumType w:fmt="decimal"/>
          <w:cols w:space="425" w:num="1"/>
          <w:docGrid w:type="lines" w:linePitch="312" w:charSpace="0"/>
        </w:sectPr>
      </w:pPr>
    </w:p>
    <w:p>
      <w:pPr>
        <w:pStyle w:val="18"/>
        <w:spacing w:line="360" w:lineRule="auto"/>
        <w:ind w:firstLine="0" w:firstLineChars="0"/>
        <w:rPr>
          <w:rFonts w:hint="eastAsia" w:ascii="宋体" w:hAnsi="宋体" w:eastAsia="宋体"/>
          <w:lang w:val="en-US" w:eastAsia="zh-CN"/>
        </w:rPr>
      </w:pPr>
      <w:r>
        <w:rPr>
          <w:rFonts w:hint="eastAsia" w:ascii="宋体" w:hAnsi="宋体" w:eastAsia="宋体"/>
          <w:lang w:val="en-US" w:eastAsia="zh-CN"/>
        </w:rPr>
        <w:t>附录一：调查问卷</w:t>
      </w:r>
    </w:p>
    <w:p>
      <w:pPr>
        <w:spacing w:line="360" w:lineRule="auto"/>
        <w:jc w:val="center"/>
        <w:rPr>
          <w:rFonts w:hint="eastAsia" w:ascii="宋体" w:hAnsi="宋体" w:eastAsia="宋体" w:cs="宋体"/>
          <w:szCs w:val="21"/>
        </w:rPr>
      </w:pPr>
      <w:r>
        <w:rPr>
          <w:rFonts w:hint="eastAsia" w:ascii="宋体" w:hAnsi="宋体" w:eastAsia="宋体" w:cs="宋体"/>
          <w:szCs w:val="21"/>
        </w:rPr>
        <w:t>中国婴童产品需求调研分析线下实地问卷</w:t>
      </w:r>
    </w:p>
    <w:p>
      <w:pPr>
        <w:spacing w:line="360" w:lineRule="auto"/>
        <w:ind w:firstLine="420" w:firstLineChars="200"/>
        <w:rPr>
          <w:rFonts w:ascii="微软雅黑" w:hAnsi="微软雅黑" w:eastAsia="微软雅黑" w:cs="微软雅黑"/>
          <w:sz w:val="28"/>
        </w:rPr>
      </w:pPr>
      <w:r>
        <w:rPr>
          <w:rFonts w:hint="eastAsia" w:ascii="宋体" w:hAnsi="宋体" w:eastAsia="宋体" w:cs="宋体"/>
          <w:szCs w:val="21"/>
        </w:rPr>
        <w:t>您好！欢迎参与本次答题，感谢您在百忙之中能抽空填写本问卷。这是一份有关中国婴童产品需求分析的调查问卷，我们是在校大学生，此次调查的目的在于协助我们完成市场调研与策划竞赛。问卷填写说明：1、问卷采取匿名填写方式，请您根据本人实际情况选择您认为最合适的答案；2、标注依赖于第二题的题目为已育人士必答题，未育人士选答题；3、此次调查所有问卷都严格保密，不具任何商业目的，所有答卷资料仅用于综合统计分析。谢谢您的配合！</w:t>
      </w: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1. 您的年龄（岁） [单选题] </w:t>
      </w:r>
      <w:r>
        <w:rPr>
          <w:rFonts w:hint="eastAsia" w:ascii="宋体" w:hAnsi="宋体" w:eastAsia="宋体" w:cs="宋体"/>
          <w:color w:val="FF0000"/>
          <w:sz w:val="21"/>
          <w:szCs w:val="21"/>
        </w:rPr>
        <w:t>*</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sym w:font="Wingdings 2" w:char="00A3"/>
            </w:r>
            <w:r>
              <w:rPr>
                <w:rFonts w:hint="eastAsia" w:ascii="宋体" w:hAnsi="宋体" w:eastAsia="宋体" w:cs="宋体"/>
                <w:sz w:val="21"/>
                <w:szCs w:val="21"/>
              </w:rPr>
              <w:t>[0 , 25)</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sym w:font="Wingdings 2" w:char="00A3"/>
            </w:r>
            <w:r>
              <w:rPr>
                <w:rFonts w:hint="eastAsia" w:ascii="宋体" w:hAnsi="宋体" w:eastAsia="宋体" w:cs="宋体"/>
                <w:sz w:val="21"/>
                <w:szCs w:val="21"/>
              </w:rPr>
              <w:t>[25 , 30)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sym w:font="Wingdings 2" w:char="00A3"/>
            </w:r>
            <w:r>
              <w:rPr>
                <w:rFonts w:hint="eastAsia" w:ascii="宋体" w:hAnsi="宋体" w:eastAsia="宋体" w:cs="宋体"/>
                <w:sz w:val="21"/>
                <w:szCs w:val="21"/>
              </w:rPr>
              <w:t>[30 , 40)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sym w:font="Wingdings 2" w:char="00A3"/>
            </w:r>
            <w:r>
              <w:rPr>
                <w:rFonts w:hint="eastAsia" w:ascii="宋体" w:hAnsi="宋体" w:eastAsia="宋体" w:cs="宋体"/>
                <w:sz w:val="21"/>
                <w:szCs w:val="21"/>
              </w:rPr>
              <w:t>40及以上</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2. 您的宝宝的年龄（岁） [单选题] </w:t>
      </w:r>
      <w:r>
        <w:rPr>
          <w:rFonts w:hint="eastAsia" w:ascii="宋体" w:hAnsi="宋体" w:eastAsia="宋体" w:cs="宋体"/>
          <w:color w:val="FF0000"/>
          <w:sz w:val="21"/>
          <w:szCs w:val="21"/>
        </w:rPr>
        <w:t>*</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0.5)</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□[0.5 , 1)</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 , 1.5)</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□[1.5 , 2)</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 , 3)</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□3及以上</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□未育</w:t>
            </w:r>
          </w:p>
        </w:tc>
      </w:tr>
    </w:tbl>
    <w:p>
      <w:pPr>
        <w:spacing w:line="360" w:lineRule="auto"/>
        <w:rPr>
          <w:rFonts w:hint="eastAsia" w:ascii="宋体" w:hAnsi="宋体" w:eastAsia="宋体" w:cs="宋体"/>
          <w:sz w:val="21"/>
          <w:szCs w:val="21"/>
        </w:rPr>
      </w:pPr>
      <w:r>
        <w:rPr>
          <w:rFonts w:hint="eastAsia" w:ascii="宋体" w:hAnsi="宋体" w:eastAsia="宋体" w:cs="宋体"/>
          <w:sz w:val="21"/>
          <w:szCs w:val="21"/>
        </w:rPr>
        <w:br w:type="page"/>
      </w: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3. 您所在地区 [单选题] </w:t>
      </w:r>
      <w:r>
        <w:rPr>
          <w:rFonts w:hint="eastAsia" w:ascii="宋体" w:hAnsi="宋体" w:eastAsia="宋体" w:cs="宋体"/>
          <w:color w:val="FF0000"/>
          <w:sz w:val="21"/>
          <w:szCs w:val="21"/>
        </w:rPr>
        <w:t>*</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□东北地区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□华北地区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□华中地区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□华东地区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□华南地区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□西北地区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□西南地区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□港澳台地区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□国外地区</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4. 您的每月家庭总体收入约为（元） [单选题] </w:t>
      </w:r>
      <w:r>
        <w:rPr>
          <w:rFonts w:hint="eastAsia" w:ascii="宋体" w:hAnsi="宋体" w:eastAsia="宋体" w:cs="宋体"/>
          <w:color w:val="FF0000"/>
          <w:sz w:val="21"/>
          <w:szCs w:val="21"/>
        </w:rPr>
        <w:t>*</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5000）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□[5000 , 8000）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□[8000 , 15000）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□[15000 , 20000）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□[20000 , 50000）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□50000及以上</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5. 您经常购买的婴童产品品类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□食品类</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□服装类</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□日用品类</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□兴趣爱好类</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 xml:space="preserve">□其他 _________________ * </w:t>
            </w:r>
          </w:p>
        </w:tc>
      </w:tr>
    </w:tbl>
    <w:p>
      <w:pPr>
        <w:rPr>
          <w:rFonts w:hint="eastAsia" w:ascii="宋体" w:hAnsi="宋体" w:eastAsia="宋体" w:cs="宋体"/>
          <w:color w:val="0066FF"/>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color w:val="0066FF"/>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6. 您每月在婴童产品上支出约为（元）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500）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□[500 , 1000）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□[1000 , 1500）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□1500及以上</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□不购买婴童产品</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7. 您能够接受婴童产品总支出占家庭总收入的比重约为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10%)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 , 20%)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□[20% , 30%)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□[30% , 50%)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□50%及以上</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8. 您在婴童产品-食品方面的月支出约为（元） [单选题]</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500）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□[500 , 1000）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□[1000 , 2000）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□2000及以上</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spacing w:line="360" w:lineRule="auto"/>
        <w:rPr>
          <w:rFonts w:hint="eastAsia" w:ascii="宋体" w:hAnsi="宋体" w:eastAsia="宋体" w:cs="宋体"/>
          <w:sz w:val="21"/>
          <w:szCs w:val="21"/>
        </w:rPr>
      </w:pPr>
      <w:r>
        <w:rPr>
          <w:rFonts w:hint="eastAsia" w:ascii="宋体" w:hAnsi="宋体" w:eastAsia="宋体" w:cs="宋体"/>
          <w:sz w:val="21"/>
          <w:szCs w:val="21"/>
        </w:rPr>
        <w:br w:type="page"/>
      </w: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9. 您在婴童产品-服装方面的月支出约为（元）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500）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□[500 , 1000）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□[1000 , 2000）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□2000及以上</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10. 您在婴童产品-日用品方面的月支出约为（元）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500）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□[500 , 1000）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□[1000 , 2000）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□2000及以上</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11. 您在婴童产品-兴趣爱好方面的月支出约为（元） [单选题]</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□[0,500）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□[500,1000）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□[1000,2000）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□2000及以上</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spacing w:line="360" w:lineRule="auto"/>
        <w:rPr>
          <w:rFonts w:hint="eastAsia" w:ascii="宋体" w:hAnsi="宋体" w:eastAsia="宋体" w:cs="宋体"/>
          <w:sz w:val="21"/>
          <w:szCs w:val="21"/>
        </w:rPr>
      </w:pPr>
      <w:r>
        <w:rPr>
          <w:rFonts w:hint="eastAsia" w:ascii="宋体" w:hAnsi="宋体" w:eastAsia="宋体" w:cs="宋体"/>
          <w:sz w:val="21"/>
          <w:szCs w:val="21"/>
        </w:rPr>
        <w:br w:type="page"/>
      </w:r>
    </w:p>
    <w:p>
      <w:pPr>
        <w:spacing w:line="360" w:lineRule="auto"/>
        <w:rPr>
          <w:rFonts w:hint="eastAsia" w:ascii="宋体" w:hAnsi="宋体" w:eastAsia="宋体" w:cs="宋体"/>
          <w:sz w:val="21"/>
          <w:szCs w:val="21"/>
        </w:rPr>
      </w:pPr>
      <w:r>
        <w:rPr>
          <w:rFonts w:hint="eastAsia" w:ascii="宋体" w:hAnsi="宋体" w:eastAsia="宋体" w:cs="宋体"/>
          <w:sz w:val="21"/>
          <w:szCs w:val="21"/>
        </w:rPr>
        <w:t>12. 您经常购买婴童产品的品牌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□国际品牌</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□国内一线品牌</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□国内小众品牌</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□不关注品牌</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13. 您通过哪些渠道了解婴童产品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□朋友介绍</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□母婴店推介</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□微信社群</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□淘宝、京东等电商平台</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□抖音、小红书等博主推荐</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14. 您通常购买婴童产品的渠道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□超市</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□母婴店</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□社群微商</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□淘宝、京东等电商</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spacing w:line="360" w:lineRule="auto"/>
        <w:rPr>
          <w:rFonts w:hint="eastAsia" w:ascii="宋体" w:hAnsi="宋体" w:eastAsia="宋体" w:cs="宋体"/>
          <w:sz w:val="21"/>
          <w:szCs w:val="21"/>
        </w:rPr>
      </w:pPr>
      <w:r>
        <w:rPr>
          <w:rFonts w:hint="eastAsia" w:ascii="宋体" w:hAnsi="宋体" w:eastAsia="宋体" w:cs="宋体"/>
          <w:sz w:val="21"/>
          <w:szCs w:val="21"/>
        </w:rPr>
        <w:br w:type="page"/>
      </w:r>
    </w:p>
    <w:p>
      <w:pPr>
        <w:spacing w:line="360" w:lineRule="auto"/>
        <w:rPr>
          <w:rFonts w:hint="eastAsia" w:ascii="宋体" w:hAnsi="宋体" w:eastAsia="宋体" w:cs="宋体"/>
          <w:sz w:val="21"/>
          <w:szCs w:val="21"/>
        </w:rPr>
      </w:pPr>
      <w:r>
        <w:rPr>
          <w:rFonts w:hint="eastAsia" w:ascii="宋体" w:hAnsi="宋体" w:eastAsia="宋体" w:cs="宋体"/>
          <w:sz w:val="21"/>
          <w:szCs w:val="21"/>
        </w:rPr>
        <w:t>15. 您更关注婴童产品的哪些方面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□安全可靠</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□设计美观</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□实用性</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□性价比高</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□品牌知名度</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16. 您更倾向于购买哪种类型的婴童产品 [单选题] </w:t>
      </w:r>
      <w:r>
        <w:rPr>
          <w:rFonts w:hint="eastAsia" w:ascii="宋体" w:hAnsi="宋体" w:eastAsia="宋体" w:cs="宋体"/>
          <w:color w:val="FF0000"/>
          <w:sz w:val="21"/>
          <w:szCs w:val="21"/>
        </w:rPr>
        <w:t>*</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□熟悉品牌的同类新产品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□回购熟悉品牌的产品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□新品牌的同类产品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□新品牌的新型产品</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17. 您对同一婴童产品的复购程度为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□全部复购</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□经常复购</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□几乎不复购</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□完全不复购</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spacing w:line="360" w:lineRule="auto"/>
        <w:rPr>
          <w:rFonts w:hint="eastAsia" w:ascii="宋体" w:hAnsi="宋体" w:eastAsia="宋体" w:cs="宋体"/>
          <w:sz w:val="21"/>
          <w:szCs w:val="21"/>
        </w:rPr>
      </w:pPr>
      <w:r>
        <w:rPr>
          <w:rFonts w:hint="eastAsia" w:ascii="宋体" w:hAnsi="宋体" w:eastAsia="宋体" w:cs="宋体"/>
          <w:sz w:val="21"/>
          <w:szCs w:val="21"/>
        </w:rPr>
        <w:br w:type="page"/>
      </w: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18. 您每月对同一婴童产品复购的频率次数为（侧重于食品和日用品等快速消耗品）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□[0,5)</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□[5,10）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□[10,15）</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□15及以上</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19. 哪些人群对您选择婴童产品和品牌的影响最大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□领域专家</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□网红博主</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□好友推荐</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□母婴店推荐</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20. 您被婴童产品广告吸引的主要因素有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□商品是我感兴趣的</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□推广活动/话题更吸引我</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□对于投放广告的平台更感兴趣</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□广告创意有趣</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□广告内容制作精美</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□有促销折扣消息</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□频繁看到广告引起注意</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□有互动游戏，参与性强</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w:t>
            </w:r>
          </w:p>
        </w:tc>
      </w:tr>
    </w:tbl>
    <w:p>
      <w:pPr>
        <w:spacing w:line="360" w:lineRule="auto"/>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21. 您比较倾向的关于婴童产品的促销方式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□折扣</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□满减</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□团购</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□优惠券</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22. 当您购买的婴童产品出现问题时您的处理方式 [单选题] </w:t>
      </w:r>
      <w:r>
        <w:rPr>
          <w:rFonts w:hint="eastAsia" w:ascii="宋体" w:hAnsi="宋体" w:eastAsia="宋体" w:cs="宋体"/>
          <w:color w:val="FF0000"/>
          <w:sz w:val="21"/>
          <w:szCs w:val="21"/>
        </w:rPr>
        <w:t>*</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□向相关部门反应投诉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□寻找门店售后</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□自行解决</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 xml:space="preserve">□其他 _________________ * </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23. 您经常购买的婴童食品品类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□婴儿米粉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□磨牙饼干</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□米饼、泡芙等零食</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□婴儿调味品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□果泥、蔬菜泥</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□主食类，如碎面，小饺子等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spacing w:line="360" w:lineRule="auto"/>
        <w:rPr>
          <w:rFonts w:hint="eastAsia" w:ascii="宋体" w:hAnsi="宋体" w:eastAsia="宋体" w:cs="宋体"/>
          <w:sz w:val="21"/>
          <w:szCs w:val="21"/>
        </w:rPr>
      </w:pPr>
      <w:r>
        <w:rPr>
          <w:rFonts w:hint="eastAsia" w:ascii="宋体" w:hAnsi="宋体" w:eastAsia="宋体" w:cs="宋体"/>
          <w:sz w:val="21"/>
          <w:szCs w:val="21"/>
        </w:rPr>
        <w:br w:type="page"/>
      </w:r>
    </w:p>
    <w:p>
      <w:pPr>
        <w:spacing w:line="360" w:lineRule="auto"/>
        <w:rPr>
          <w:rFonts w:hint="eastAsia" w:ascii="宋体" w:hAnsi="宋体" w:eastAsia="宋体" w:cs="宋体"/>
          <w:sz w:val="21"/>
          <w:szCs w:val="21"/>
        </w:rPr>
      </w:pPr>
      <w:r>
        <w:rPr>
          <w:rFonts w:hint="eastAsia" w:ascii="宋体" w:hAnsi="宋体" w:eastAsia="宋体" w:cs="宋体"/>
          <w:sz w:val="21"/>
          <w:szCs w:val="21"/>
        </w:rPr>
        <w:t>24. 您更关注婴童食品的哪些方面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□性价比</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□口味口感</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□营养价值</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□安全质量</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□便携性，如方便速食，可携带</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25. 您愿意接受高于普通食品多高的价格来购买婴童食品（元）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10)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 , 20)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□[20 , 40)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□[40 , 60)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□60及以上</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26. 您愿意接受高于普通婴童食品多高的价格购买营养强化婴童食品（元）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□[0 , 10)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□[10 , 20)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□[20 , 40)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□[40 , 60)</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□60及以上</w:t>
            </w:r>
          </w:p>
        </w:tc>
      </w:tr>
    </w:tbl>
    <w:p>
      <w:pPr>
        <w:rPr>
          <w:rFonts w:hint="eastAsia" w:ascii="宋体" w:hAnsi="宋体" w:eastAsia="宋体" w:cs="宋体"/>
          <w:color w:val="0066FF"/>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r>
        <w:rPr>
          <w:rFonts w:hint="eastAsia" w:ascii="宋体" w:hAnsi="宋体" w:eastAsia="宋体" w:cs="宋体"/>
          <w:sz w:val="21"/>
          <w:szCs w:val="21"/>
        </w:rPr>
        <w:br w:type="page"/>
      </w:r>
    </w:p>
    <w:p>
      <w:pPr>
        <w:spacing w:line="360" w:lineRule="auto"/>
        <w:rPr>
          <w:rFonts w:hint="eastAsia" w:ascii="宋体" w:hAnsi="宋体" w:eastAsia="宋体" w:cs="宋体"/>
          <w:sz w:val="21"/>
          <w:szCs w:val="21"/>
        </w:rPr>
      </w:pPr>
      <w:r>
        <w:rPr>
          <w:rFonts w:hint="eastAsia" w:ascii="宋体" w:hAnsi="宋体" w:eastAsia="宋体" w:cs="宋体"/>
          <w:sz w:val="21"/>
          <w:szCs w:val="21"/>
        </w:rPr>
        <w:t>27. 您在婴童食品选购中都遇到过什么问题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□不知道选择什么成分</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□没有安全可靠的途径</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□不知道选择什么品牌</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28. 您认为目前婴童食品有哪些不足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□做不到低盐少糖无添加</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□营养搭配不均衡</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□外形不吸引孩子</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□味道不理想</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□价格过高</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□选择不够理想</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 xml:space="preserve">□其他 _________________ * </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29. 您对婴童食品的改进有什么建议 [填空题] </w:t>
      </w:r>
      <w:r>
        <w:rPr>
          <w:rFonts w:hint="eastAsia" w:ascii="宋体" w:hAnsi="宋体" w:eastAsia="宋体" w:cs="宋体"/>
          <w:color w:val="FF0000"/>
          <w:sz w:val="21"/>
          <w:szCs w:val="21"/>
        </w:rPr>
        <w:t>*</w:t>
      </w:r>
    </w:p>
    <w:p>
      <w:pPr>
        <w:rPr>
          <w:rFonts w:hint="eastAsia" w:ascii="宋体" w:hAnsi="宋体" w:eastAsia="宋体" w:cs="宋体"/>
          <w:sz w:val="21"/>
          <w:szCs w:val="21"/>
        </w:rPr>
      </w:pPr>
      <w:r>
        <w:rPr>
          <w:rFonts w:hint="eastAsia" w:ascii="宋体" w:hAnsi="宋体" w:eastAsia="宋体" w:cs="宋体"/>
          <w:sz w:val="21"/>
          <w:szCs w:val="21"/>
        </w:rPr>
        <w:t>_________________________________</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30. 您一般多久为孩子添置新衣服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□每月均会</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□一季度内</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□一季度以上</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□看孩子的生长情况</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□看经济情况</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31. 您购买婴童服装时比较注重的是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□面料手感</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□设计款式</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□图案色彩</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□品牌知名度</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32. 您购买婴童服装时偏向于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□套装</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□单件</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□自行搭配</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33. 您在婴童日用品中哪些方面消费比重更大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□孩子出行（推车、安全座椅等）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□孩子家具（儿童床、儿童餐椅等）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□孩子生理卫生用品（尿不湿、餐巾等）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□孩子玩具</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8856"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□孩子洗护用品</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spacing w:line="360" w:lineRule="auto"/>
        <w:rPr>
          <w:rFonts w:hint="eastAsia" w:ascii="宋体" w:hAnsi="宋体" w:eastAsia="宋体" w:cs="宋体"/>
          <w:sz w:val="21"/>
          <w:szCs w:val="21"/>
        </w:rPr>
      </w:pPr>
      <w:r>
        <w:rPr>
          <w:rFonts w:hint="eastAsia" w:ascii="宋体" w:hAnsi="宋体" w:eastAsia="宋体" w:cs="宋体"/>
          <w:sz w:val="21"/>
          <w:szCs w:val="21"/>
        </w:rPr>
        <w:br w:type="page"/>
      </w:r>
    </w:p>
    <w:p>
      <w:pPr>
        <w:spacing w:line="360" w:lineRule="auto"/>
        <w:rPr>
          <w:rFonts w:hint="eastAsia" w:ascii="宋体" w:hAnsi="宋体" w:eastAsia="宋体" w:cs="宋体"/>
          <w:sz w:val="21"/>
          <w:szCs w:val="21"/>
        </w:rPr>
      </w:pPr>
      <w:r>
        <w:rPr>
          <w:rFonts w:hint="eastAsia" w:ascii="宋体" w:hAnsi="宋体" w:eastAsia="宋体" w:cs="宋体"/>
          <w:sz w:val="21"/>
          <w:szCs w:val="21"/>
        </w:rPr>
        <w:t>34. 您觉得在宝宝成长过程中更需要的产品可能是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□婴儿推车</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□儿童安全座椅</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□婴儿学步车</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□婴儿床</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□儿童木马</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□儿童浴缸</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35. 您对孩子参加兴趣班的态度是 [单选题]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□非常积极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□可有可无</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□没有必要</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□非常抗拒</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t>36. 您会让您的孩子哪些兴趣爱好培训 [多选题]</w:t>
      </w:r>
      <w:r>
        <w:rPr>
          <w:rFonts w:hint="eastAsia" w:ascii="宋体" w:hAnsi="宋体" w:eastAsia="宋体" w:cs="宋体"/>
          <w:color w:val="FF0000"/>
          <w:sz w:val="21"/>
          <w:szCs w:val="21"/>
        </w:rPr>
        <w:t xml:space="preserve"> </w:t>
      </w:r>
    </w:p>
    <w:tbl>
      <w:tblPr>
        <w:tblStyle w:val="1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522"/>
      </w:tblGrid>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□音乐类：如声乐、乐器等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□艺术类：美术、书法等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□益智类：棋类、奥数等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□体育类：舞蹈、游泳等</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□手工类</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□不参加</w:t>
            </w:r>
          </w:p>
        </w:tc>
      </w:tr>
      <w:tr>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pPr>
              <w:rPr>
                <w:rFonts w:hint="eastAsia" w:ascii="宋体" w:hAnsi="宋体" w:eastAsia="宋体" w:cs="宋体"/>
                <w:sz w:val="21"/>
                <w:szCs w:val="21"/>
              </w:rPr>
            </w:pPr>
            <w:r>
              <w:rPr>
                <w:rFonts w:hint="eastAsia" w:ascii="宋体" w:hAnsi="宋体" w:eastAsia="宋体" w:cs="宋体"/>
                <w:sz w:val="21"/>
                <w:szCs w:val="21"/>
              </w:rPr>
              <w:t>□其他 _________________*</w:t>
            </w:r>
          </w:p>
        </w:tc>
      </w:tr>
    </w:tbl>
    <w:p>
      <w:pPr>
        <w:rPr>
          <w:rFonts w:hint="eastAsia" w:ascii="宋体" w:hAnsi="宋体" w:eastAsia="宋体" w:cs="宋体"/>
          <w:sz w:val="21"/>
          <w:szCs w:val="21"/>
        </w:rPr>
      </w:pPr>
      <w:r>
        <w:rPr>
          <w:rFonts w:hint="eastAsia" w:ascii="宋体" w:hAnsi="宋体" w:eastAsia="宋体" w:cs="宋体"/>
          <w:color w:val="0066FF"/>
          <w:sz w:val="21"/>
          <w:szCs w:val="21"/>
        </w:rPr>
        <w:t>依赖于第</w:t>
      </w:r>
      <w:r>
        <w:rPr>
          <w:rFonts w:hint="eastAsia" w:ascii="宋体" w:hAnsi="宋体" w:eastAsia="宋体" w:cs="宋体"/>
          <w:b/>
          <w:bCs/>
          <w:color w:val="0066FF"/>
          <w:sz w:val="21"/>
          <w:szCs w:val="21"/>
        </w:rPr>
        <w:t>2</w:t>
      </w:r>
      <w:r>
        <w:rPr>
          <w:rFonts w:hint="eastAsia" w:ascii="宋体" w:hAnsi="宋体" w:eastAsia="宋体" w:cs="宋体"/>
          <w:color w:val="0066FF"/>
          <w:sz w:val="21"/>
          <w:szCs w:val="21"/>
        </w:rPr>
        <w:t>题第1;2;3;4;5;6个选项</w:t>
      </w:r>
    </w:p>
    <w:p>
      <w:pPr>
        <w:pStyle w:val="18"/>
        <w:spacing w:line="360" w:lineRule="auto"/>
        <w:ind w:firstLine="0" w:firstLineChars="0"/>
        <w:rPr>
          <w:rFonts w:hint="default" w:ascii="宋体" w:hAnsi="宋体" w:eastAsia="宋体"/>
          <w:lang w:val="en-US" w:eastAsia="zh-CN"/>
        </w:rPr>
      </w:pPr>
    </w:p>
    <w:p>
      <w:pPr>
        <w:spacing w:line="360" w:lineRule="auto"/>
        <w:outlineLvl w:val="0"/>
        <w:rPr>
          <w:rFonts w:ascii="宋体" w:hAnsi="宋体" w:eastAsia="宋体" w:cs="宋体"/>
        </w:rPr>
      </w:pPr>
    </w:p>
    <w:sectPr>
      <w:headerReference r:id="rId20"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sdt>
      <w:sdtPr>
        <w:id w:val="481203937"/>
      </w:sdtPr>
      <w:sdtContent/>
    </w:sdt>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Edhg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Edhg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sdt>
      <w:sdtPr>
        <w:id w:val="481203937"/>
      </w:sdtPr>
      <w:sdtContent/>
    </w:sdt>
    <w:r>
      <w:rPr>
        <w:rFonts w:hint="eastAsia"/>
        <w:lang w:val="en-US" w:eastAsia="zh-CN"/>
      </w:rPr>
      <w:t>6</w:t>
    </w: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项目基本信息</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预期效果评价</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项目总结和意义</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调研背景与问题</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调研设计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数据收集与分析</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分析结果解读</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分析结果解读</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产品营销策略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Theme="minorEastAsia"/>
        <w:lang w:val="en-US" w:eastAsia="zh-CN"/>
      </w:rPr>
    </w:pPr>
    <w:r>
      <w:rPr>
        <w:rFonts w:hint="eastAsia"/>
        <w:lang w:val="en-US" w:eastAsia="zh-CN"/>
      </w:rPr>
      <w:t>可行性分析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9A695E"/>
    <w:multiLevelType w:val="singleLevel"/>
    <w:tmpl w:val="8C9A695E"/>
    <w:lvl w:ilvl="0" w:tentative="0">
      <w:start w:val="1"/>
      <w:numFmt w:val="decimal"/>
      <w:suff w:val="nothing"/>
      <w:lvlText w:val="（%1）"/>
      <w:lvlJc w:val="left"/>
    </w:lvl>
  </w:abstractNum>
  <w:abstractNum w:abstractNumId="1">
    <w:nsid w:val="999CB5DF"/>
    <w:multiLevelType w:val="singleLevel"/>
    <w:tmpl w:val="999CB5DF"/>
    <w:lvl w:ilvl="0" w:tentative="0">
      <w:start w:val="1"/>
      <w:numFmt w:val="decimal"/>
      <w:suff w:val="nothing"/>
      <w:lvlText w:val="（%1）"/>
      <w:lvlJc w:val="left"/>
    </w:lvl>
  </w:abstractNum>
  <w:abstractNum w:abstractNumId="2">
    <w:nsid w:val="9A32D5D7"/>
    <w:multiLevelType w:val="singleLevel"/>
    <w:tmpl w:val="9A32D5D7"/>
    <w:lvl w:ilvl="0" w:tentative="0">
      <w:start w:val="2"/>
      <w:numFmt w:val="decimal"/>
      <w:suff w:val="nothing"/>
      <w:lvlText w:val="（%1）"/>
      <w:lvlJc w:val="left"/>
    </w:lvl>
  </w:abstractNum>
  <w:abstractNum w:abstractNumId="3">
    <w:nsid w:val="9BB75849"/>
    <w:multiLevelType w:val="singleLevel"/>
    <w:tmpl w:val="9BB75849"/>
    <w:lvl w:ilvl="0" w:tentative="0">
      <w:start w:val="1"/>
      <w:numFmt w:val="decimal"/>
      <w:suff w:val="nothing"/>
      <w:lvlText w:val="（%1）"/>
      <w:lvlJc w:val="left"/>
    </w:lvl>
  </w:abstractNum>
  <w:abstractNum w:abstractNumId="4">
    <w:nsid w:val="C853CBD9"/>
    <w:multiLevelType w:val="singleLevel"/>
    <w:tmpl w:val="C853CBD9"/>
    <w:lvl w:ilvl="0" w:tentative="0">
      <w:start w:val="1"/>
      <w:numFmt w:val="decimal"/>
      <w:suff w:val="nothing"/>
      <w:lvlText w:val="（%1）"/>
      <w:lvlJc w:val="left"/>
    </w:lvl>
  </w:abstractNum>
  <w:abstractNum w:abstractNumId="5">
    <w:nsid w:val="CA265865"/>
    <w:multiLevelType w:val="singleLevel"/>
    <w:tmpl w:val="CA265865"/>
    <w:lvl w:ilvl="0" w:tentative="0">
      <w:start w:val="1"/>
      <w:numFmt w:val="decimal"/>
      <w:suff w:val="nothing"/>
      <w:lvlText w:val="（%1）"/>
      <w:lvlJc w:val="left"/>
    </w:lvl>
  </w:abstractNum>
  <w:abstractNum w:abstractNumId="6">
    <w:nsid w:val="0175EBA1"/>
    <w:multiLevelType w:val="singleLevel"/>
    <w:tmpl w:val="0175EBA1"/>
    <w:lvl w:ilvl="0" w:tentative="0">
      <w:start w:val="4"/>
      <w:numFmt w:val="decimal"/>
      <w:suff w:val="nothing"/>
      <w:lvlText w:val="（%1）"/>
      <w:lvlJc w:val="left"/>
    </w:lvl>
  </w:abstractNum>
  <w:abstractNum w:abstractNumId="7">
    <w:nsid w:val="22959EBF"/>
    <w:multiLevelType w:val="singleLevel"/>
    <w:tmpl w:val="22959EBF"/>
    <w:lvl w:ilvl="0" w:tentative="0">
      <w:start w:val="3"/>
      <w:numFmt w:val="decimal"/>
      <w:suff w:val="nothing"/>
      <w:lvlText w:val="（%1）"/>
      <w:lvlJc w:val="left"/>
    </w:lvl>
  </w:abstractNum>
  <w:abstractNum w:abstractNumId="8">
    <w:nsid w:val="61FAD8F6"/>
    <w:multiLevelType w:val="singleLevel"/>
    <w:tmpl w:val="61FAD8F6"/>
    <w:lvl w:ilvl="0" w:tentative="0">
      <w:start w:val="3"/>
      <w:numFmt w:val="decimal"/>
      <w:suff w:val="nothing"/>
      <w:lvlText w:val="（%1）"/>
      <w:lvlJc w:val="left"/>
    </w:lvl>
  </w:abstractNum>
  <w:abstractNum w:abstractNumId="9">
    <w:nsid w:val="73D22E8B"/>
    <w:multiLevelType w:val="singleLevel"/>
    <w:tmpl w:val="73D22E8B"/>
    <w:lvl w:ilvl="0" w:tentative="0">
      <w:start w:val="4"/>
      <w:numFmt w:val="decimal"/>
      <w:suff w:val="nothing"/>
      <w:lvlText w:val="（%1）"/>
      <w:lvlJc w:val="left"/>
    </w:lvl>
  </w:abstractNum>
  <w:num w:numId="1">
    <w:abstractNumId w:val="3"/>
  </w:num>
  <w:num w:numId="2">
    <w:abstractNumId w:val="4"/>
  </w:num>
  <w:num w:numId="3">
    <w:abstractNumId w:val="2"/>
  </w:num>
  <w:num w:numId="4">
    <w:abstractNumId w:val="7"/>
  </w:num>
  <w:num w:numId="5">
    <w:abstractNumId w:val="6"/>
  </w:num>
  <w:num w:numId="6">
    <w:abstractNumId w:val="5"/>
  </w:num>
  <w:num w:numId="7">
    <w:abstractNumId w:val="9"/>
  </w:num>
  <w:num w:numId="8">
    <w:abstractNumId w:val="1"/>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noPunctuationKerning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Y1NWM1ZDczNTMwNzVjM2ZkOGRkNGZkNzdhZDYxYTUifQ=="/>
  </w:docVars>
  <w:rsids>
    <w:rsidRoot w:val="46464FEB"/>
    <w:rsid w:val="00022DAD"/>
    <w:rsid w:val="00034BDC"/>
    <w:rsid w:val="00045000"/>
    <w:rsid w:val="0004713D"/>
    <w:rsid w:val="00062BFE"/>
    <w:rsid w:val="000654CB"/>
    <w:rsid w:val="00081BAC"/>
    <w:rsid w:val="000A7FA8"/>
    <w:rsid w:val="000B482A"/>
    <w:rsid w:val="000B5B2D"/>
    <w:rsid w:val="000D7C34"/>
    <w:rsid w:val="000E0DDF"/>
    <w:rsid w:val="000E65DC"/>
    <w:rsid w:val="000F7F63"/>
    <w:rsid w:val="00101036"/>
    <w:rsid w:val="0010523C"/>
    <w:rsid w:val="00127652"/>
    <w:rsid w:val="0013538B"/>
    <w:rsid w:val="001477CE"/>
    <w:rsid w:val="00177CAB"/>
    <w:rsid w:val="0018054A"/>
    <w:rsid w:val="00180750"/>
    <w:rsid w:val="001946B0"/>
    <w:rsid w:val="001C7E01"/>
    <w:rsid w:val="001E083F"/>
    <w:rsid w:val="001E25EC"/>
    <w:rsid w:val="001F381B"/>
    <w:rsid w:val="001F5052"/>
    <w:rsid w:val="00201DAC"/>
    <w:rsid w:val="002027F3"/>
    <w:rsid w:val="00211F28"/>
    <w:rsid w:val="00220564"/>
    <w:rsid w:val="002355B6"/>
    <w:rsid w:val="00263FD4"/>
    <w:rsid w:val="002748BB"/>
    <w:rsid w:val="00276260"/>
    <w:rsid w:val="00291D05"/>
    <w:rsid w:val="00292E25"/>
    <w:rsid w:val="002A2C4E"/>
    <w:rsid w:val="002A73B4"/>
    <w:rsid w:val="002C0862"/>
    <w:rsid w:val="002E2101"/>
    <w:rsid w:val="002E2D49"/>
    <w:rsid w:val="002E7F29"/>
    <w:rsid w:val="0030687E"/>
    <w:rsid w:val="00311D0D"/>
    <w:rsid w:val="003139C0"/>
    <w:rsid w:val="00327E56"/>
    <w:rsid w:val="00344FEF"/>
    <w:rsid w:val="00345701"/>
    <w:rsid w:val="003504D6"/>
    <w:rsid w:val="003512F9"/>
    <w:rsid w:val="003745B3"/>
    <w:rsid w:val="003857E9"/>
    <w:rsid w:val="00393A84"/>
    <w:rsid w:val="003974FA"/>
    <w:rsid w:val="00397FC3"/>
    <w:rsid w:val="003A1D5C"/>
    <w:rsid w:val="003A2008"/>
    <w:rsid w:val="003A4EA7"/>
    <w:rsid w:val="003A7B21"/>
    <w:rsid w:val="003B5C8A"/>
    <w:rsid w:val="003C584A"/>
    <w:rsid w:val="003C6832"/>
    <w:rsid w:val="003D2DCF"/>
    <w:rsid w:val="003E3A83"/>
    <w:rsid w:val="003F085B"/>
    <w:rsid w:val="003F139C"/>
    <w:rsid w:val="003F4380"/>
    <w:rsid w:val="003F6ED1"/>
    <w:rsid w:val="0041451F"/>
    <w:rsid w:val="00416590"/>
    <w:rsid w:val="00422CC3"/>
    <w:rsid w:val="00423A57"/>
    <w:rsid w:val="00423E16"/>
    <w:rsid w:val="00435383"/>
    <w:rsid w:val="00455F47"/>
    <w:rsid w:val="0048407C"/>
    <w:rsid w:val="004928D9"/>
    <w:rsid w:val="004A1327"/>
    <w:rsid w:val="004D67C2"/>
    <w:rsid w:val="004E0299"/>
    <w:rsid w:val="004E4DA0"/>
    <w:rsid w:val="004F22AD"/>
    <w:rsid w:val="0050091F"/>
    <w:rsid w:val="00506EA5"/>
    <w:rsid w:val="00507353"/>
    <w:rsid w:val="00547832"/>
    <w:rsid w:val="005530A9"/>
    <w:rsid w:val="005663EB"/>
    <w:rsid w:val="0059248A"/>
    <w:rsid w:val="00592CD8"/>
    <w:rsid w:val="005A595C"/>
    <w:rsid w:val="005B08B9"/>
    <w:rsid w:val="005B1185"/>
    <w:rsid w:val="005B6397"/>
    <w:rsid w:val="005C1A69"/>
    <w:rsid w:val="005E3305"/>
    <w:rsid w:val="00613B4D"/>
    <w:rsid w:val="00620F69"/>
    <w:rsid w:val="006330E5"/>
    <w:rsid w:val="00634719"/>
    <w:rsid w:val="00634866"/>
    <w:rsid w:val="00636C80"/>
    <w:rsid w:val="00663526"/>
    <w:rsid w:val="006876E2"/>
    <w:rsid w:val="006A01E9"/>
    <w:rsid w:val="006B1B64"/>
    <w:rsid w:val="006E7F8F"/>
    <w:rsid w:val="006F0392"/>
    <w:rsid w:val="006F0AED"/>
    <w:rsid w:val="00703035"/>
    <w:rsid w:val="00707F51"/>
    <w:rsid w:val="007157B5"/>
    <w:rsid w:val="00722031"/>
    <w:rsid w:val="00726893"/>
    <w:rsid w:val="00730F7A"/>
    <w:rsid w:val="007577B4"/>
    <w:rsid w:val="007809DA"/>
    <w:rsid w:val="0078343C"/>
    <w:rsid w:val="00797165"/>
    <w:rsid w:val="007E0E9B"/>
    <w:rsid w:val="007E1BD0"/>
    <w:rsid w:val="007E4881"/>
    <w:rsid w:val="007F2051"/>
    <w:rsid w:val="00801DF1"/>
    <w:rsid w:val="00813917"/>
    <w:rsid w:val="00815534"/>
    <w:rsid w:val="00825247"/>
    <w:rsid w:val="008255D1"/>
    <w:rsid w:val="00833568"/>
    <w:rsid w:val="00833EFE"/>
    <w:rsid w:val="0083681B"/>
    <w:rsid w:val="00841F7E"/>
    <w:rsid w:val="00862329"/>
    <w:rsid w:val="00866340"/>
    <w:rsid w:val="00886A23"/>
    <w:rsid w:val="008A459C"/>
    <w:rsid w:val="008B4A9E"/>
    <w:rsid w:val="008F3724"/>
    <w:rsid w:val="008F3D8C"/>
    <w:rsid w:val="009247E2"/>
    <w:rsid w:val="0094083B"/>
    <w:rsid w:val="00941E37"/>
    <w:rsid w:val="00941E5A"/>
    <w:rsid w:val="009547DB"/>
    <w:rsid w:val="00956C5F"/>
    <w:rsid w:val="00964002"/>
    <w:rsid w:val="00970749"/>
    <w:rsid w:val="00981F06"/>
    <w:rsid w:val="00986C2F"/>
    <w:rsid w:val="009934EE"/>
    <w:rsid w:val="00994CC0"/>
    <w:rsid w:val="009C30A1"/>
    <w:rsid w:val="009D5DC5"/>
    <w:rsid w:val="009E0609"/>
    <w:rsid w:val="009E3015"/>
    <w:rsid w:val="009F1FC0"/>
    <w:rsid w:val="009F3D35"/>
    <w:rsid w:val="009F68DD"/>
    <w:rsid w:val="009F7520"/>
    <w:rsid w:val="00A15AEC"/>
    <w:rsid w:val="00A16E5E"/>
    <w:rsid w:val="00A24D9B"/>
    <w:rsid w:val="00A27CE2"/>
    <w:rsid w:val="00A35D6A"/>
    <w:rsid w:val="00A41CFD"/>
    <w:rsid w:val="00A4784B"/>
    <w:rsid w:val="00A564A3"/>
    <w:rsid w:val="00A5758B"/>
    <w:rsid w:val="00A60206"/>
    <w:rsid w:val="00A769F0"/>
    <w:rsid w:val="00AA6F97"/>
    <w:rsid w:val="00AB2AF2"/>
    <w:rsid w:val="00AD49CF"/>
    <w:rsid w:val="00AE001F"/>
    <w:rsid w:val="00AE2192"/>
    <w:rsid w:val="00AE5214"/>
    <w:rsid w:val="00AF1128"/>
    <w:rsid w:val="00AF1B34"/>
    <w:rsid w:val="00AF2A95"/>
    <w:rsid w:val="00AF6812"/>
    <w:rsid w:val="00B03EBC"/>
    <w:rsid w:val="00B24123"/>
    <w:rsid w:val="00B31155"/>
    <w:rsid w:val="00B33D8E"/>
    <w:rsid w:val="00B45692"/>
    <w:rsid w:val="00B64F47"/>
    <w:rsid w:val="00B714BD"/>
    <w:rsid w:val="00B812FF"/>
    <w:rsid w:val="00B86B59"/>
    <w:rsid w:val="00B96EF5"/>
    <w:rsid w:val="00BB1622"/>
    <w:rsid w:val="00BC0395"/>
    <w:rsid w:val="00BC4565"/>
    <w:rsid w:val="00BE3ABD"/>
    <w:rsid w:val="00BE4588"/>
    <w:rsid w:val="00BF6FA8"/>
    <w:rsid w:val="00C007DA"/>
    <w:rsid w:val="00C065C0"/>
    <w:rsid w:val="00C14111"/>
    <w:rsid w:val="00C269DE"/>
    <w:rsid w:val="00C46F48"/>
    <w:rsid w:val="00C529D2"/>
    <w:rsid w:val="00C576B3"/>
    <w:rsid w:val="00C6052B"/>
    <w:rsid w:val="00C86441"/>
    <w:rsid w:val="00C955AE"/>
    <w:rsid w:val="00CA4776"/>
    <w:rsid w:val="00CB01D7"/>
    <w:rsid w:val="00CF5B0E"/>
    <w:rsid w:val="00CF6E8F"/>
    <w:rsid w:val="00D05848"/>
    <w:rsid w:val="00D23E1B"/>
    <w:rsid w:val="00D3177C"/>
    <w:rsid w:val="00D32647"/>
    <w:rsid w:val="00D33742"/>
    <w:rsid w:val="00D41240"/>
    <w:rsid w:val="00D63933"/>
    <w:rsid w:val="00D94B0E"/>
    <w:rsid w:val="00D95EB2"/>
    <w:rsid w:val="00DB2CCC"/>
    <w:rsid w:val="00DC25C1"/>
    <w:rsid w:val="00DF111D"/>
    <w:rsid w:val="00DF433B"/>
    <w:rsid w:val="00E30659"/>
    <w:rsid w:val="00E62757"/>
    <w:rsid w:val="00E72477"/>
    <w:rsid w:val="00E864E9"/>
    <w:rsid w:val="00E90261"/>
    <w:rsid w:val="00EA0EBF"/>
    <w:rsid w:val="00EA346C"/>
    <w:rsid w:val="00EA54C0"/>
    <w:rsid w:val="00EA7DD6"/>
    <w:rsid w:val="00EB0DEF"/>
    <w:rsid w:val="00ED2B95"/>
    <w:rsid w:val="00ED3200"/>
    <w:rsid w:val="00ED5271"/>
    <w:rsid w:val="00EF1160"/>
    <w:rsid w:val="00EF4CA4"/>
    <w:rsid w:val="00F412D1"/>
    <w:rsid w:val="00F73401"/>
    <w:rsid w:val="00F77F73"/>
    <w:rsid w:val="00F915A6"/>
    <w:rsid w:val="00FB3325"/>
    <w:rsid w:val="00FB7E7E"/>
    <w:rsid w:val="00FC4198"/>
    <w:rsid w:val="00FC5125"/>
    <w:rsid w:val="00FD3C2D"/>
    <w:rsid w:val="00FE39F7"/>
    <w:rsid w:val="00FE5A9D"/>
    <w:rsid w:val="00FE5B7B"/>
    <w:rsid w:val="00FE66A6"/>
    <w:rsid w:val="00FE7CEC"/>
    <w:rsid w:val="0A65610F"/>
    <w:rsid w:val="12A14B10"/>
    <w:rsid w:val="1FC335CC"/>
    <w:rsid w:val="2E5858CC"/>
    <w:rsid w:val="30857588"/>
    <w:rsid w:val="30F41AEE"/>
    <w:rsid w:val="357F7101"/>
    <w:rsid w:val="36445773"/>
    <w:rsid w:val="39111E53"/>
    <w:rsid w:val="3BED40CD"/>
    <w:rsid w:val="3EBB643D"/>
    <w:rsid w:val="3FC731D2"/>
    <w:rsid w:val="44544C60"/>
    <w:rsid w:val="452724BA"/>
    <w:rsid w:val="46464FEB"/>
    <w:rsid w:val="49CD2F69"/>
    <w:rsid w:val="4C0F6953"/>
    <w:rsid w:val="57FB5D50"/>
    <w:rsid w:val="587F05D0"/>
    <w:rsid w:val="5A8B33BB"/>
    <w:rsid w:val="63644146"/>
    <w:rsid w:val="64127048"/>
    <w:rsid w:val="65BD42BC"/>
    <w:rsid w:val="67DB56EF"/>
    <w:rsid w:val="77096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6" w:lineRule="auto"/>
      <w:outlineLvl w:val="0"/>
    </w:pPr>
    <w:rPr>
      <w:rFonts w:eastAsia="黑体" w:asciiTheme="minorAscii" w:hAnsiTheme="minorAscii"/>
      <w:b/>
      <w:kern w:val="44"/>
      <w:sz w:val="28"/>
    </w:rPr>
  </w:style>
  <w:style w:type="paragraph" w:styleId="3">
    <w:name w:val="heading 2"/>
    <w:basedOn w:val="1"/>
    <w:next w:val="1"/>
    <w:link w:val="23"/>
    <w:unhideWhenUsed/>
    <w:qFormat/>
    <w:uiPriority w:val="0"/>
    <w:pPr>
      <w:keepNext/>
      <w:keepLines/>
      <w:spacing w:before="260" w:after="260" w:line="413" w:lineRule="auto"/>
      <w:outlineLvl w:val="1"/>
    </w:pPr>
    <w:rPr>
      <w:rFonts w:ascii="Arial" w:hAnsi="Arial" w:eastAsia="宋体"/>
      <w:b/>
      <w:sz w:val="28"/>
    </w:rPr>
  </w:style>
  <w:style w:type="paragraph" w:styleId="4">
    <w:name w:val="heading 3"/>
    <w:basedOn w:val="1"/>
    <w:next w:val="1"/>
    <w:link w:val="24"/>
    <w:unhideWhenUsed/>
    <w:qFormat/>
    <w:uiPriority w:val="0"/>
    <w:pPr>
      <w:keepNext/>
      <w:keepLines/>
      <w:spacing w:before="260" w:after="260" w:line="413" w:lineRule="auto"/>
      <w:outlineLvl w:val="2"/>
    </w:pPr>
    <w:rPr>
      <w:rFonts w:eastAsia="宋体"/>
      <w:b/>
      <w:sz w:val="24"/>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1"/>
    <w:qFormat/>
    <w:uiPriority w:val="0"/>
    <w:pPr>
      <w:jc w:val="left"/>
    </w:pPr>
  </w:style>
  <w:style w:type="paragraph" w:styleId="6">
    <w:name w:val="toc 3"/>
    <w:basedOn w:val="1"/>
    <w:next w:val="1"/>
    <w:qFormat/>
    <w:uiPriority w:val="39"/>
    <w:pPr>
      <w:ind w:left="840" w:leftChars="400"/>
    </w:p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tabs>
        <w:tab w:val="right" w:leader="dot" w:pos="8296"/>
      </w:tabs>
      <w:spacing w:line="440" w:lineRule="exact"/>
    </w:pPr>
  </w:style>
  <w:style w:type="paragraph" w:styleId="10">
    <w:name w:val="toc 2"/>
    <w:basedOn w:val="1"/>
    <w:next w:val="1"/>
    <w:qFormat/>
    <w:uiPriority w:val="39"/>
    <w:pPr>
      <w:ind w:left="420" w:leftChars="200"/>
    </w:p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annotation reference"/>
    <w:basedOn w:val="14"/>
    <w:qFormat/>
    <w:uiPriority w:val="0"/>
    <w:rPr>
      <w:sz w:val="21"/>
      <w:szCs w:val="21"/>
    </w:rPr>
  </w:style>
  <w:style w:type="paragraph" w:styleId="18">
    <w:name w:val="List Paragraph"/>
    <w:basedOn w:val="1"/>
    <w:qFormat/>
    <w:uiPriority w:val="99"/>
    <w:pPr>
      <w:ind w:firstLine="420" w:firstLineChars="200"/>
    </w:pPr>
  </w:style>
  <w:style w:type="character" w:customStyle="1" w:styleId="19">
    <w:name w:val="页眉 字符"/>
    <w:basedOn w:val="14"/>
    <w:link w:val="8"/>
    <w:qFormat/>
    <w:uiPriority w:val="0"/>
    <w:rPr>
      <w:rFonts w:asciiTheme="minorHAnsi" w:hAnsiTheme="minorHAnsi" w:eastAsiaTheme="minorEastAsia" w:cstheme="minorBidi"/>
      <w:kern w:val="2"/>
      <w:sz w:val="18"/>
      <w:szCs w:val="18"/>
    </w:rPr>
  </w:style>
  <w:style w:type="character" w:customStyle="1" w:styleId="20">
    <w:name w:val="页脚 字符"/>
    <w:basedOn w:val="14"/>
    <w:link w:val="7"/>
    <w:qFormat/>
    <w:uiPriority w:val="99"/>
    <w:rPr>
      <w:rFonts w:asciiTheme="minorHAnsi" w:hAnsiTheme="minorHAnsi" w:eastAsiaTheme="minorEastAsia" w:cstheme="minorBidi"/>
      <w:kern w:val="2"/>
      <w:sz w:val="18"/>
      <w:szCs w:val="18"/>
    </w:rPr>
  </w:style>
  <w:style w:type="character" w:customStyle="1" w:styleId="21">
    <w:name w:val="批注文字 字符"/>
    <w:basedOn w:val="14"/>
    <w:link w:val="5"/>
    <w:qFormat/>
    <w:uiPriority w:val="0"/>
    <w:rPr>
      <w:rFonts w:asciiTheme="minorHAnsi" w:hAnsiTheme="minorHAnsi" w:eastAsiaTheme="minorEastAsia" w:cstheme="minorBidi"/>
      <w:kern w:val="2"/>
      <w:sz w:val="21"/>
      <w:szCs w:val="24"/>
    </w:rPr>
  </w:style>
  <w:style w:type="character" w:customStyle="1" w:styleId="22">
    <w:name w:val="标题 1 字符"/>
    <w:basedOn w:val="14"/>
    <w:link w:val="2"/>
    <w:qFormat/>
    <w:uiPriority w:val="0"/>
    <w:rPr>
      <w:rFonts w:eastAsia="黑体" w:asciiTheme="minorAscii" w:hAnsiTheme="minorAscii" w:cstheme="minorBidi"/>
      <w:b/>
      <w:kern w:val="44"/>
      <w:sz w:val="28"/>
      <w:szCs w:val="24"/>
    </w:rPr>
  </w:style>
  <w:style w:type="character" w:customStyle="1" w:styleId="23">
    <w:name w:val="标题 2 字符"/>
    <w:basedOn w:val="14"/>
    <w:link w:val="3"/>
    <w:qFormat/>
    <w:uiPriority w:val="0"/>
    <w:rPr>
      <w:rFonts w:ascii="Arial" w:hAnsi="Arial" w:cstheme="minorBidi"/>
      <w:b/>
      <w:kern w:val="2"/>
      <w:sz w:val="28"/>
      <w:szCs w:val="24"/>
    </w:rPr>
  </w:style>
  <w:style w:type="character" w:customStyle="1" w:styleId="24">
    <w:name w:val="标题 3 字符"/>
    <w:basedOn w:val="14"/>
    <w:link w:val="4"/>
    <w:qFormat/>
    <w:uiPriority w:val="0"/>
    <w:rPr>
      <w:rFonts w:asciiTheme="minorHAnsi" w:hAnsiTheme="minorHAnsi" w:cstheme="minorBidi"/>
      <w:b/>
      <w:kern w:val="2"/>
      <w:sz w:val="24"/>
      <w:szCs w:val="24"/>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footer" Target="footer2.xml"/><Relationship Id="rId69" Type="http://schemas.openxmlformats.org/officeDocument/2006/relationships/image" Target="media/image22.jpeg"/><Relationship Id="rId68" Type="http://schemas.openxmlformats.org/officeDocument/2006/relationships/image" Target="media/image21.png"/><Relationship Id="rId67" Type="http://schemas.openxmlformats.org/officeDocument/2006/relationships/image" Target="media/image20.png"/><Relationship Id="rId66" Type="http://schemas.openxmlformats.org/officeDocument/2006/relationships/chart" Target="charts/chart26.xml"/><Relationship Id="rId65" Type="http://schemas.openxmlformats.org/officeDocument/2006/relationships/image" Target="media/image19.png"/><Relationship Id="rId64" Type="http://schemas.openxmlformats.org/officeDocument/2006/relationships/image" Target="media/image18.jpeg"/><Relationship Id="rId63" Type="http://schemas.openxmlformats.org/officeDocument/2006/relationships/chart" Target="charts/chart25.xml"/><Relationship Id="rId62" Type="http://schemas.openxmlformats.org/officeDocument/2006/relationships/chart" Target="charts/chart24.xml"/><Relationship Id="rId61" Type="http://schemas.openxmlformats.org/officeDocument/2006/relationships/image" Target="media/image17.jpeg"/><Relationship Id="rId60" Type="http://schemas.openxmlformats.org/officeDocument/2006/relationships/image" Target="media/image16.jpeg"/><Relationship Id="rId6" Type="http://schemas.openxmlformats.org/officeDocument/2006/relationships/header" Target="header3.xml"/><Relationship Id="rId59" Type="http://schemas.openxmlformats.org/officeDocument/2006/relationships/image" Target="media/image15.png"/><Relationship Id="rId58" Type="http://schemas.openxmlformats.org/officeDocument/2006/relationships/chart" Target="charts/chart23.xml"/><Relationship Id="rId57" Type="http://schemas.openxmlformats.org/officeDocument/2006/relationships/image" Target="media/image14.png"/><Relationship Id="rId56" Type="http://schemas.openxmlformats.org/officeDocument/2006/relationships/chart" Target="charts/chart22.xml"/><Relationship Id="rId55" Type="http://schemas.openxmlformats.org/officeDocument/2006/relationships/image" Target="media/image13.png"/><Relationship Id="rId54" Type="http://schemas.openxmlformats.org/officeDocument/2006/relationships/image" Target="media/image12.png"/><Relationship Id="rId53" Type="http://schemas.openxmlformats.org/officeDocument/2006/relationships/chart" Target="charts/chart21.xml"/><Relationship Id="rId52" Type="http://schemas.openxmlformats.org/officeDocument/2006/relationships/chart" Target="charts/chart20.xml"/><Relationship Id="rId51" Type="http://schemas.openxmlformats.org/officeDocument/2006/relationships/chart" Target="charts/chart19.xml"/><Relationship Id="rId50" Type="http://schemas.openxmlformats.org/officeDocument/2006/relationships/image" Target="media/image11.png"/><Relationship Id="rId5" Type="http://schemas.openxmlformats.org/officeDocument/2006/relationships/footer" Target="footer1.xml"/><Relationship Id="rId49" Type="http://schemas.openxmlformats.org/officeDocument/2006/relationships/image" Target="media/image10.png"/><Relationship Id="rId48" Type="http://schemas.openxmlformats.org/officeDocument/2006/relationships/image" Target="media/image9.png"/><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chart" Target="charts/chart18.xml"/><Relationship Id="rId44" Type="http://schemas.openxmlformats.org/officeDocument/2006/relationships/chart" Target="charts/chart17.xml"/><Relationship Id="rId43" Type="http://schemas.openxmlformats.org/officeDocument/2006/relationships/chart" Target="charts/chart16.xml"/><Relationship Id="rId42" Type="http://schemas.openxmlformats.org/officeDocument/2006/relationships/chart" Target="charts/chart15.xml"/><Relationship Id="rId41" Type="http://schemas.openxmlformats.org/officeDocument/2006/relationships/chart" Target="charts/chart14.xml"/><Relationship Id="rId40" Type="http://schemas.openxmlformats.org/officeDocument/2006/relationships/chart" Target="charts/chart13.xml"/><Relationship Id="rId4" Type="http://schemas.openxmlformats.org/officeDocument/2006/relationships/header" Target="header2.xml"/><Relationship Id="rId39" Type="http://schemas.openxmlformats.org/officeDocument/2006/relationships/chart" Target="charts/chart12.xml"/><Relationship Id="rId38" Type="http://schemas.openxmlformats.org/officeDocument/2006/relationships/chart" Target="charts/chart11.xml"/><Relationship Id="rId37" Type="http://schemas.openxmlformats.org/officeDocument/2006/relationships/chart" Target="charts/chart10.xml"/><Relationship Id="rId36" Type="http://schemas.openxmlformats.org/officeDocument/2006/relationships/chart" Target="charts/chart9.xml"/><Relationship Id="rId35" Type="http://schemas.openxmlformats.org/officeDocument/2006/relationships/chart" Target="charts/chart8.xml"/><Relationship Id="rId34" Type="http://schemas.openxmlformats.org/officeDocument/2006/relationships/chart" Target="charts/chart7.xml"/><Relationship Id="rId33" Type="http://schemas.openxmlformats.org/officeDocument/2006/relationships/image" Target="media/image6.png"/><Relationship Id="rId32" Type="http://schemas.openxmlformats.org/officeDocument/2006/relationships/chart" Target="charts/chart6.xml"/><Relationship Id="rId31" Type="http://schemas.openxmlformats.org/officeDocument/2006/relationships/chart" Target="charts/chart5.xml"/><Relationship Id="rId30" Type="http://schemas.openxmlformats.org/officeDocument/2006/relationships/chart" Target="charts/chart4.xml"/><Relationship Id="rId3" Type="http://schemas.openxmlformats.org/officeDocument/2006/relationships/header" Target="header1.xml"/><Relationship Id="rId29" Type="http://schemas.openxmlformats.org/officeDocument/2006/relationships/chart" Target="charts/chart3.xml"/><Relationship Id="rId28" Type="http://schemas.openxmlformats.org/officeDocument/2006/relationships/chart" Target="charts/chart2.xml"/><Relationship Id="rId27" Type="http://schemas.openxmlformats.org/officeDocument/2006/relationships/chart" Target="charts/chart1.xml"/><Relationship Id="rId26" Type="http://schemas.openxmlformats.org/officeDocument/2006/relationships/image" Target="media/image5.jpe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jpe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package" Target="../embeddings/Workbook15.xlsx"/></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10.xlsx"/></Relationships>
</file>

<file path=word/charts/_rels/chart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package" Target="../embeddings/Workbook21.xlsx"/></Relationships>
</file>

<file path=word/charts/_rels/chart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package" Target="../embeddings/Workbook12.xlsx"/></Relationships>
</file>

<file path=word/charts/_rels/chart1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9.xlsx"/></Relationships>
</file>

<file path=word/charts/_rels/chart1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15.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package" Target="../embeddings/Workbook14.xlsx"/></Relationships>
</file>

<file path=word/charts/_rels/chart16.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package" Target="../embeddings/Workbook19.xlsx"/></Relationships>
</file>

<file path=word/charts/_rels/chart17.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package" Target="../embeddings/Workbook22.xlsx"/></Relationships>
</file>

<file path=word/charts/_rels/chart1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package" Target="../embeddings/Workbook16.xlsx"/></Relationships>
</file>

<file path=word/charts/_rels/chart19.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2.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package" Target="../embeddings/Workbook20.xlsx"/></Relationships>
</file>

<file path=word/charts/_rels/chart20.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_rels/chart21.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package" Target="../embeddings/Workbook18.xlsx"/></Relationships>
</file>

<file path=word/charts/_rels/chart2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package" Target="../embeddings/Workbook23.xlsx"/></Relationships>
</file>

<file path=word/charts/_rels/chart2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package" Target="../embeddings/Workbook25.xlsx"/></Relationships>
</file>

<file path=word/charts/_rels/chart24.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package" Target="../embeddings/Workbook24.xlsx"/></Relationships>
</file>

<file path=word/charts/_rels/chart2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6.xml.rels><?xml version="1.0" encoding="UTF-8" standalone="yes"?>
<Relationships xmlns="http://schemas.openxmlformats.org/package/2006/relationships"><Relationship Id="rId3" Type="http://schemas.microsoft.com/office/2011/relationships/chartColorStyle" Target="colors26.xml"/><Relationship Id="rId2" Type="http://schemas.microsoft.com/office/2011/relationships/chartStyle" Target="style26.xml"/><Relationship Id="rId1" Type="http://schemas.openxmlformats.org/officeDocument/2006/relationships/oleObject" Target="&#24037;&#20316;&#31807;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8.xlsx"/></Relationships>
</file>

<file path=word/charts/_rels/chart5.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package" Target="../embeddings/Workbook17.xlsx"/></Relationships>
</file>

<file path=word/charts/_rels/chart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1.xlsx"/></Relationships>
</file>

<file path=word/charts/_rels/chart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package" Target="../embeddings/Workbook13.xlsx"/></Relationships>
</file>

<file path=word/charts/_rels/chart8.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9.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婴童产品规模（亿元）</c:v>
                </c:pt>
              </c:strCache>
            </c:strRef>
          </c:tx>
          <c:spPr>
            <a:solidFill>
              <a:srgbClr val="FEC3CB"/>
            </a:solidFill>
            <a:ln>
              <a:noFill/>
            </a:ln>
            <a:effectLst/>
          </c:spPr>
          <c:invertIfNegative val="0"/>
          <c:dLbls>
            <c:dLbl>
              <c:idx val="2"/>
              <c:layout>
                <c:manualLayout>
                  <c:x val="0"/>
                  <c:y val="0.016032064128256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2017</c:v>
                </c:pt>
                <c:pt idx="1">
                  <c:v>2018</c:v>
                </c:pt>
                <c:pt idx="2">
                  <c:v>2019</c:v>
                </c:pt>
                <c:pt idx="3">
                  <c:v>2020</c:v>
                </c:pt>
                <c:pt idx="4">
                  <c:v>2021</c:v>
                </c:pt>
                <c:pt idx="5">
                  <c:v>2022e</c:v>
                </c:pt>
              </c:strCache>
            </c:strRef>
          </c:cat>
          <c:val>
            <c:numRef>
              <c:f>Sheet1!$B$2:$B$7</c:f>
              <c:numCache>
                <c:formatCode>General</c:formatCode>
                <c:ptCount val="6"/>
                <c:pt idx="0">
                  <c:v>23613</c:v>
                </c:pt>
                <c:pt idx="1">
                  <c:v>26593</c:v>
                </c:pt>
                <c:pt idx="2">
                  <c:v>29919</c:v>
                </c:pt>
                <c:pt idx="3">
                  <c:v>31231</c:v>
                </c:pt>
                <c:pt idx="4">
                  <c:v>34591</c:v>
                </c:pt>
                <c:pt idx="5">
                  <c:v>37552</c:v>
                </c:pt>
              </c:numCache>
            </c:numRef>
          </c:val>
        </c:ser>
        <c:dLbls>
          <c:showLegendKey val="0"/>
          <c:showVal val="1"/>
          <c:showCatName val="0"/>
          <c:showSerName val="0"/>
          <c:showPercent val="0"/>
          <c:showBubbleSize val="0"/>
        </c:dLbls>
        <c:gapWidth val="219"/>
        <c:axId val="1367794783"/>
        <c:axId val="1367793119"/>
      </c:barChart>
      <c:lineChart>
        <c:grouping val="standard"/>
        <c:varyColors val="0"/>
        <c:ser>
          <c:idx val="1"/>
          <c:order val="1"/>
          <c:tx>
            <c:strRef>
              <c:f>Sheet1!$C$1</c:f>
              <c:strCache>
                <c:ptCount val="1"/>
                <c:pt idx="0">
                  <c:v>增速（%）</c:v>
                </c:pt>
              </c:strCache>
            </c:strRef>
          </c:tx>
          <c:spPr>
            <a:ln w="28575" cap="rnd">
              <a:solidFill>
                <a:srgbClr val="D03B53"/>
              </a:solidFill>
              <a:round/>
            </a:ln>
            <a:effectLst/>
          </c:spPr>
          <c:marker>
            <c:symbol val="none"/>
          </c:marker>
          <c:dLbls>
            <c:dLbl>
              <c:idx val="1"/>
              <c:layout>
                <c:manualLayout>
                  <c:x val="-0.0653759114910737"/>
                  <c:y val="-0.0160320641282565"/>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2017</c:v>
                </c:pt>
                <c:pt idx="1">
                  <c:v>2018</c:v>
                </c:pt>
                <c:pt idx="2">
                  <c:v>2019</c:v>
                </c:pt>
                <c:pt idx="3">
                  <c:v>2020</c:v>
                </c:pt>
                <c:pt idx="4">
                  <c:v>2021</c:v>
                </c:pt>
                <c:pt idx="5">
                  <c:v>2022e</c:v>
                </c:pt>
              </c:strCache>
            </c:strRef>
          </c:cat>
          <c:val>
            <c:numRef>
              <c:f>Sheet1!$C$2:$C$7</c:f>
              <c:numCache>
                <c:formatCode>General</c:formatCode>
                <c:ptCount val="6"/>
                <c:pt idx="1">
                  <c:v>12.6</c:v>
                </c:pt>
                <c:pt idx="2">
                  <c:v>12.5</c:v>
                </c:pt>
                <c:pt idx="3">
                  <c:v>4.4</c:v>
                </c:pt>
                <c:pt idx="4">
                  <c:v>10.8</c:v>
                </c:pt>
                <c:pt idx="5">
                  <c:v>8.6</c:v>
                </c:pt>
              </c:numCache>
            </c:numRef>
          </c:val>
          <c:smooth val="0"/>
        </c:ser>
        <c:dLbls>
          <c:showLegendKey val="0"/>
          <c:showVal val="1"/>
          <c:showCatName val="0"/>
          <c:showSerName val="0"/>
          <c:showPercent val="0"/>
          <c:showBubbleSize val="0"/>
        </c:dLbls>
        <c:marker val="0"/>
        <c:smooth val="0"/>
        <c:axId val="1388915743"/>
        <c:axId val="1388915327"/>
      </c:lineChart>
      <c:catAx>
        <c:axId val="1367794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67793119"/>
        <c:crosses val="autoZero"/>
        <c:auto val="1"/>
        <c:lblAlgn val="ctr"/>
        <c:lblOffset val="100"/>
        <c:noMultiLvlLbl val="0"/>
      </c:catAx>
      <c:valAx>
        <c:axId val="1367793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67794783"/>
        <c:crosses val="autoZero"/>
        <c:crossBetween val="between"/>
      </c:valAx>
      <c:catAx>
        <c:axId val="1388915743"/>
        <c:scaling>
          <c:orientation val="minMax"/>
        </c:scaling>
        <c:delete val="1"/>
        <c:axPos val="b"/>
        <c:numFmt formatCode="General" sourceLinked="1"/>
        <c:majorTickMark val="out"/>
        <c:minorTickMark val="none"/>
        <c:tickLblPos val="nextTo"/>
        <c:txPr>
          <a:bodyPr rot="-60000000" spcFirstLastPara="0"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88915327"/>
        <c:crosses val="autoZero"/>
        <c:auto val="1"/>
        <c:lblAlgn val="ctr"/>
        <c:lblOffset val="100"/>
        <c:noMultiLvlLbl val="0"/>
      </c:catAx>
      <c:valAx>
        <c:axId val="138891532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88915743"/>
        <c:crosses val="max"/>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Sheet1!$B$1</c:f>
              <c:strCache>
                <c:ptCount val="1"/>
                <c:pt idx="0">
                  <c:v>2022年中国消费者购买母婴童产品时对相关因素的重视程度</c:v>
                </c:pt>
              </c:strCache>
            </c:strRef>
          </c:tx>
          <c:spPr>
            <a:ln w="28575" cap="rnd">
              <a:solidFill>
                <a:srgbClr val="EE536B"/>
              </a:solidFill>
              <a:round/>
            </a:ln>
            <a:effectLst/>
          </c:spPr>
          <c:marker>
            <c:symbol val="none"/>
          </c:marker>
          <c:dLbls>
            <c:dLbl>
              <c:idx val="1"/>
              <c:layout>
                <c:manualLayout>
                  <c:x val="0.0699582521151196"/>
                  <c:y val="0.0852321375503002"/>
                </c:manualLayout>
              </c:layou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439580227931045"/>
                  <c:y val="-0.090449174981995"/>
                </c:manualLayout>
              </c:layou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113504563071754"/>
                  <c:y val="0.0678812571396814"/>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600" b="0" i="0" u="none" strike="noStrike" kern="1200" baseline="0">
                    <a:solidFill>
                      <a:schemeClr val="tx1">
                        <a:lumMod val="75000"/>
                        <a:lumOff val="25000"/>
                      </a:schemeClr>
                    </a:solidFill>
                    <a:latin typeface="+mn-lt"/>
                    <a:ea typeface="+mn-ea"/>
                    <a:cs typeface="+mn-cs"/>
                  </a:defRPr>
                </a:pPr>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做不到低盐少糖无添加</c:v>
                </c:pt>
                <c:pt idx="1">
                  <c:v>营养搭配不均衡</c:v>
                </c:pt>
                <c:pt idx="2">
                  <c:v>外形不吸引孩子</c:v>
                </c:pt>
                <c:pt idx="3">
                  <c:v>味道不理想</c:v>
                </c:pt>
                <c:pt idx="4">
                  <c:v>价格过高</c:v>
                </c:pt>
                <c:pt idx="5">
                  <c:v>选择不够理想</c:v>
                </c:pt>
              </c:strCache>
            </c:strRef>
          </c:cat>
          <c:val>
            <c:numRef>
              <c:f>Sheet1!$B$2:$B$7</c:f>
              <c:numCache>
                <c:formatCode>0.00%</c:formatCode>
                <c:ptCount val="6"/>
                <c:pt idx="0">
                  <c:v>0.1331</c:v>
                </c:pt>
                <c:pt idx="1">
                  <c:v>0.1977</c:v>
                </c:pt>
                <c:pt idx="2">
                  <c:v>0.2205</c:v>
                </c:pt>
                <c:pt idx="3">
                  <c:v>0.2433</c:v>
                </c:pt>
                <c:pt idx="4">
                  <c:v>0.1179</c:v>
                </c:pt>
                <c:pt idx="5">
                  <c:v>0.0875</c:v>
                </c:pt>
              </c:numCache>
            </c:numRef>
          </c:val>
        </c:ser>
        <c:dLbls>
          <c:showLegendKey val="0"/>
          <c:showVal val="1"/>
          <c:showCatName val="0"/>
          <c:showSerName val="0"/>
          <c:showPercent val="0"/>
          <c:showBubbleSize val="0"/>
        </c:dLbls>
        <c:axId val="1371300927"/>
        <c:axId val="1371297183"/>
      </c:radarChart>
      <c:catAx>
        <c:axId val="1371300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297183"/>
        <c:crosses val="autoZero"/>
        <c:auto val="1"/>
        <c:lblAlgn val="ctr"/>
        <c:lblOffset val="100"/>
        <c:noMultiLvlLbl val="0"/>
      </c:catAx>
      <c:valAx>
        <c:axId val="1371297183"/>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txPr>
          <a:bodyPr rot="-60000000" spcFirstLastPara="0"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300927"/>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占比</c:v>
                </c:pt>
              </c:strCache>
            </c:strRef>
          </c:tx>
          <c:spPr>
            <a:solidFill>
              <a:srgbClr val="D03B53"/>
            </a:solidFill>
            <a:ln>
              <a:noFill/>
            </a:ln>
            <a:effectLst/>
          </c:spPr>
          <c:invertIfNegative val="0"/>
          <c:dLbls>
            <c:dLbl>
              <c:idx val="0"/>
              <c:layout>
                <c:manualLayout>
                  <c:x val="-0.0958904109589041"/>
                  <c:y val="0.0940860215053763"/>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不知道选择什么成分</c:v>
                </c:pt>
                <c:pt idx="1">
                  <c:v>没有安全可靠的途径</c:v>
                </c:pt>
                <c:pt idx="2">
                  <c:v>不知道选择什么品牌</c:v>
                </c:pt>
              </c:strCache>
            </c:strRef>
          </c:cat>
          <c:val>
            <c:numRef>
              <c:f>Sheet1!$B$2:$B$4</c:f>
              <c:numCache>
                <c:formatCode>0.00%</c:formatCode>
                <c:ptCount val="3"/>
                <c:pt idx="0">
                  <c:v>0.7643</c:v>
                </c:pt>
                <c:pt idx="1">
                  <c:v>0.4715</c:v>
                </c:pt>
                <c:pt idx="2">
                  <c:v>0.5361</c:v>
                </c:pt>
              </c:numCache>
            </c:numRef>
          </c:val>
        </c:ser>
        <c:dLbls>
          <c:showLegendKey val="0"/>
          <c:showVal val="1"/>
          <c:showCatName val="0"/>
          <c:showSerName val="0"/>
          <c:showPercent val="0"/>
          <c:showBubbleSize val="0"/>
        </c:dLbls>
        <c:gapWidth val="182"/>
        <c:axId val="235385922"/>
        <c:axId val="153220226"/>
      </c:barChart>
      <c:catAx>
        <c:axId val="235385922"/>
        <c:scaling>
          <c:orientation val="minMax"/>
        </c:scaling>
        <c:delete val="0"/>
        <c:axPos val="l"/>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220226"/>
        <c:crosses val="autoZero"/>
        <c:auto val="1"/>
        <c:lblAlgn val="ctr"/>
        <c:lblOffset val="100"/>
        <c:noMultiLvlLbl val="0"/>
      </c:catAx>
      <c:valAx>
        <c:axId val="15322022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5385922"/>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rgbClr val="FEC3C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[0,500)</c:v>
                </c:pt>
                <c:pt idx="1">
                  <c:v>[500,1000)</c:v>
                </c:pt>
                <c:pt idx="2">
                  <c:v>[1000,2000)</c:v>
                </c:pt>
                <c:pt idx="3">
                  <c:v>2000及以上</c:v>
                </c:pt>
              </c:strCache>
            </c:strRef>
          </c:cat>
          <c:val>
            <c:numRef>
              <c:f>Sheet1!$B$2:$B$5</c:f>
              <c:numCache>
                <c:formatCode>0.00%</c:formatCode>
                <c:ptCount val="4"/>
                <c:pt idx="0">
                  <c:v>0.5589</c:v>
                </c:pt>
                <c:pt idx="1">
                  <c:v>0.2662</c:v>
                </c:pt>
                <c:pt idx="2">
                  <c:v>0.1445</c:v>
                </c:pt>
                <c:pt idx="3">
                  <c:v>0.0304</c:v>
                </c:pt>
              </c:numCache>
            </c:numRef>
          </c:val>
        </c:ser>
        <c:dLbls>
          <c:showLegendKey val="0"/>
          <c:showVal val="1"/>
          <c:showCatName val="0"/>
          <c:showSerName val="0"/>
          <c:showPercent val="0"/>
          <c:showBubbleSize val="0"/>
        </c:dLbls>
        <c:gapWidth val="219"/>
        <c:overlap val="-27"/>
        <c:axId val="985480831"/>
        <c:axId val="985482079"/>
      </c:barChart>
      <c:catAx>
        <c:axId val="985480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985482079"/>
        <c:crosses val="autoZero"/>
        <c:auto val="1"/>
        <c:lblAlgn val="ctr"/>
        <c:lblOffset val="100"/>
        <c:noMultiLvlLbl val="0"/>
      </c:catAx>
      <c:valAx>
        <c:axId val="98548207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crossAx val="9854808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900"/>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4823196414342"/>
          <c:y val="0.0959214501510574"/>
          <c:w val="0.74126844779051"/>
          <c:h val="0.598007707495778"/>
        </c:manualLayout>
      </c:layout>
      <c:barChart>
        <c:barDir val="col"/>
        <c:grouping val="clustered"/>
        <c:varyColors val="0"/>
        <c:ser>
          <c:idx val="0"/>
          <c:order val="0"/>
          <c:tx>
            <c:strRef>
              <c:f>Sheet1!$B$1</c:f>
              <c:strCache>
                <c:ptCount val="1"/>
                <c:pt idx="0">
                  <c:v>系列 1</c:v>
                </c:pt>
              </c:strCache>
            </c:strRef>
          </c:tx>
          <c:spPr>
            <a:solidFill>
              <a:srgbClr val="EE536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每月均会</c:v>
                </c:pt>
                <c:pt idx="1">
                  <c:v>一季度内</c:v>
                </c:pt>
                <c:pt idx="2">
                  <c:v>一季度以上</c:v>
                </c:pt>
                <c:pt idx="3">
                  <c:v>看孩子生长情况</c:v>
                </c:pt>
                <c:pt idx="4">
                  <c:v>看经济情况</c:v>
                </c:pt>
              </c:strCache>
            </c:strRef>
          </c:cat>
          <c:val>
            <c:numRef>
              <c:f>Sheet1!$B$2:$B$6</c:f>
              <c:numCache>
                <c:formatCode>0.00%</c:formatCode>
                <c:ptCount val="5"/>
                <c:pt idx="0">
                  <c:v>0.0837</c:v>
                </c:pt>
                <c:pt idx="1">
                  <c:v>0.1939</c:v>
                </c:pt>
                <c:pt idx="2">
                  <c:v>0.3574</c:v>
                </c:pt>
                <c:pt idx="3">
                  <c:v>0.2776</c:v>
                </c:pt>
                <c:pt idx="4">
                  <c:v>0.0875</c:v>
                </c:pt>
              </c:numCache>
            </c:numRef>
          </c:val>
        </c:ser>
        <c:dLbls>
          <c:showLegendKey val="0"/>
          <c:showVal val="1"/>
          <c:showCatName val="0"/>
          <c:showSerName val="0"/>
          <c:showPercent val="0"/>
          <c:showBubbleSize val="0"/>
        </c:dLbls>
        <c:gapWidth val="219"/>
        <c:overlap val="-27"/>
        <c:axId val="1490546751"/>
        <c:axId val="1490553407"/>
      </c:barChart>
      <c:catAx>
        <c:axId val="14905467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490553407"/>
        <c:crosses val="autoZero"/>
        <c:auto val="1"/>
        <c:lblAlgn val="ctr"/>
        <c:lblOffset val="100"/>
        <c:noMultiLvlLbl val="0"/>
      </c:catAx>
      <c:valAx>
        <c:axId val="149055340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905467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900"/>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3576562258528"/>
          <c:y val="0.100550458715596"/>
          <c:w val="0.763115950462577"/>
          <c:h val="0.721726215415734"/>
        </c:manualLayout>
      </c:layout>
      <c:barChart>
        <c:barDir val="col"/>
        <c:grouping val="clustered"/>
        <c:varyColors val="0"/>
        <c:ser>
          <c:idx val="0"/>
          <c:order val="0"/>
          <c:tx>
            <c:strRef>
              <c:f>Sheet1!$B$1</c:f>
              <c:strCache>
                <c:ptCount val="1"/>
                <c:pt idx="0">
                  <c:v>系列 1</c:v>
                </c:pt>
              </c:strCache>
            </c:strRef>
          </c:tx>
          <c:spPr>
            <a:solidFill>
              <a:srgbClr val="EE536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面料手感</c:v>
                </c:pt>
                <c:pt idx="1">
                  <c:v>设计款式</c:v>
                </c:pt>
                <c:pt idx="2">
                  <c:v>图案色彩</c:v>
                </c:pt>
                <c:pt idx="3">
                  <c:v>品牌知名度</c:v>
                </c:pt>
              </c:strCache>
            </c:strRef>
          </c:cat>
          <c:val>
            <c:numRef>
              <c:f>Sheet1!$B$2:$B$5</c:f>
              <c:numCache>
                <c:formatCode>0.00%</c:formatCode>
                <c:ptCount val="4"/>
                <c:pt idx="0">
                  <c:v>0.5589</c:v>
                </c:pt>
                <c:pt idx="1">
                  <c:v>0.4943</c:v>
                </c:pt>
                <c:pt idx="2">
                  <c:v>0.5095</c:v>
                </c:pt>
                <c:pt idx="3">
                  <c:v>0.4981</c:v>
                </c:pt>
              </c:numCache>
            </c:numRef>
          </c:val>
        </c:ser>
        <c:dLbls>
          <c:showLegendKey val="0"/>
          <c:showVal val="1"/>
          <c:showCatName val="0"/>
          <c:showSerName val="0"/>
          <c:showPercent val="0"/>
          <c:showBubbleSize val="0"/>
        </c:dLbls>
        <c:gapWidth val="219"/>
        <c:overlap val="-27"/>
        <c:axId val="1386197135"/>
        <c:axId val="1386214191"/>
      </c:barChart>
      <c:catAx>
        <c:axId val="138619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386214191"/>
        <c:crosses val="autoZero"/>
        <c:auto val="1"/>
        <c:lblAlgn val="ctr"/>
        <c:lblOffset val="100"/>
        <c:noMultiLvlLbl val="0"/>
      </c:catAx>
      <c:valAx>
        <c:axId val="138621419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crossAx val="13861971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900"/>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rgbClr val="FEC3C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套装</c:v>
                </c:pt>
                <c:pt idx="1">
                  <c:v>单件</c:v>
                </c:pt>
                <c:pt idx="2">
                  <c:v>自行搭配</c:v>
                </c:pt>
              </c:strCache>
            </c:strRef>
          </c:cat>
          <c:val>
            <c:numRef>
              <c:f>Sheet1!$B$2:$B$4</c:f>
              <c:numCache>
                <c:formatCode>0.00%</c:formatCode>
                <c:ptCount val="3"/>
                <c:pt idx="0">
                  <c:v>0.2395</c:v>
                </c:pt>
                <c:pt idx="1">
                  <c:v>0.4981</c:v>
                </c:pt>
                <c:pt idx="2">
                  <c:v>0.2624</c:v>
                </c:pt>
              </c:numCache>
            </c:numRef>
          </c:val>
        </c:ser>
        <c:dLbls>
          <c:showLegendKey val="0"/>
          <c:showVal val="0"/>
          <c:showCatName val="0"/>
          <c:showSerName val="0"/>
          <c:showPercent val="0"/>
          <c:showBubbleSize val="0"/>
        </c:dLbls>
        <c:gapWidth val="219"/>
        <c:overlap val="-27"/>
        <c:axId val="985481247"/>
        <c:axId val="985482911"/>
      </c:barChart>
      <c:catAx>
        <c:axId val="985481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5482911"/>
        <c:crosses val="autoZero"/>
        <c:auto val="1"/>
        <c:lblAlgn val="ctr"/>
        <c:lblOffset val="100"/>
        <c:noMultiLvlLbl val="0"/>
      </c:catAx>
      <c:valAx>
        <c:axId val="98548291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5481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rgbClr val="FEC3CB"/>
              </a:solidFill>
              <a:ln w="19050">
                <a:solidFill>
                  <a:schemeClr val="lt1"/>
                </a:solidFill>
              </a:ln>
              <a:effectLst/>
            </c:spPr>
          </c:dPt>
          <c:dPt>
            <c:idx val="1"/>
            <c:bubble3D val="0"/>
            <c:spPr>
              <a:solidFill>
                <a:srgbClr val="EE536B"/>
              </a:solidFill>
              <a:ln w="19050">
                <a:solidFill>
                  <a:schemeClr val="lt1"/>
                </a:solidFill>
              </a:ln>
              <a:effectLst/>
            </c:spPr>
          </c:dPt>
          <c:dPt>
            <c:idx val="2"/>
            <c:bubble3D val="0"/>
            <c:spPr>
              <a:solidFill>
                <a:srgbClr val="D03B53"/>
              </a:solidFill>
              <a:ln w="19050">
                <a:solidFill>
                  <a:schemeClr val="lt1"/>
                </a:solidFill>
              </a:ln>
              <a:effectLst/>
            </c:spPr>
          </c:dPt>
          <c:dPt>
            <c:idx val="3"/>
            <c:bubble3D val="0"/>
            <c:spPr>
              <a:solidFill>
                <a:srgbClr val="E31D89"/>
              </a:solidFill>
              <a:ln w="19050">
                <a:solidFill>
                  <a:schemeClr val="lt1"/>
                </a:solidFill>
              </a:ln>
              <a:effectLst/>
            </c:spPr>
          </c:dPt>
          <c:dPt>
            <c:idx val="4"/>
            <c:bubble3D val="0"/>
            <c:spPr>
              <a:solidFill>
                <a:srgbClr val="F686A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lstStyle/>
              <a:p>
                <a:pPr>
                  <a:defRPr lang="zh-CN" sz="7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孩子出行</c:v>
                </c:pt>
                <c:pt idx="1">
                  <c:v>孩子家具</c:v>
                </c:pt>
                <c:pt idx="2">
                  <c:v>孩子生理卫生用品</c:v>
                </c:pt>
                <c:pt idx="3">
                  <c:v>孩子玩具</c:v>
                </c:pt>
                <c:pt idx="4">
                  <c:v>孩子洗护用品</c:v>
                </c:pt>
              </c:strCache>
            </c:strRef>
          </c:cat>
          <c:val>
            <c:numRef>
              <c:f>Sheet1!$B$2:$B$6</c:f>
              <c:numCache>
                <c:formatCode>0.00%</c:formatCode>
                <c:ptCount val="5"/>
                <c:pt idx="0">
                  <c:v>0.3992</c:v>
                </c:pt>
                <c:pt idx="1">
                  <c:v>0.3764</c:v>
                </c:pt>
                <c:pt idx="2">
                  <c:v>0.3764</c:v>
                </c:pt>
                <c:pt idx="3">
                  <c:v>0.5171</c:v>
                </c:pt>
                <c:pt idx="4">
                  <c:v>0.4487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0897542304432765"/>
          <c:y val="0.702383259391348"/>
          <c:w val="0.849609084362181"/>
          <c:h val="0.177901474924495"/>
        </c:manualLayout>
      </c:layout>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00"/>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rgbClr val="F686A3"/>
              </a:solidFill>
              <a:ln w="19050">
                <a:solidFill>
                  <a:schemeClr val="lt1"/>
                </a:solidFill>
              </a:ln>
              <a:effectLst/>
            </c:spPr>
          </c:dPt>
          <c:dPt>
            <c:idx val="1"/>
            <c:bubble3D val="0"/>
            <c:spPr>
              <a:solidFill>
                <a:srgbClr val="FEC3CB"/>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rgbClr val="D03B53"/>
              </a:solidFill>
              <a:ln w="19050">
                <a:solidFill>
                  <a:schemeClr val="lt1"/>
                </a:solidFill>
              </a:ln>
              <a:effectLst/>
            </c:spPr>
          </c:dPt>
          <c:dPt>
            <c:idx val="4"/>
            <c:bubble3D val="0"/>
            <c:spPr>
              <a:solidFill>
                <a:srgbClr val="F775BF"/>
              </a:solidFill>
              <a:ln w="19050">
                <a:solidFill>
                  <a:schemeClr val="lt1"/>
                </a:solidFill>
              </a:ln>
              <a:effectLst/>
            </c:spPr>
          </c:dPt>
          <c:dPt>
            <c:idx val="5"/>
            <c:bubble3D val="0"/>
            <c:spPr>
              <a:solidFill>
                <a:srgbClr val="F57798"/>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儿童浴缸</c:v>
                </c:pt>
                <c:pt idx="1">
                  <c:v>儿童木马</c:v>
                </c:pt>
                <c:pt idx="2">
                  <c:v>婴儿床</c:v>
                </c:pt>
                <c:pt idx="3">
                  <c:v>婴儿学步车</c:v>
                </c:pt>
                <c:pt idx="4">
                  <c:v>儿童安全座椅</c:v>
                </c:pt>
                <c:pt idx="5">
                  <c:v>婴儿推车</c:v>
                </c:pt>
              </c:strCache>
            </c:strRef>
          </c:cat>
          <c:val>
            <c:numRef>
              <c:f>Sheet1!$B$2:$B$7</c:f>
              <c:numCache>
                <c:formatCode>0.00%</c:formatCode>
                <c:ptCount val="6"/>
                <c:pt idx="0">
                  <c:v>0.346</c:v>
                </c:pt>
                <c:pt idx="1">
                  <c:v>0.3916</c:v>
                </c:pt>
                <c:pt idx="2">
                  <c:v>0.3916</c:v>
                </c:pt>
                <c:pt idx="3">
                  <c:v>0.327</c:v>
                </c:pt>
                <c:pt idx="4">
                  <c:v>0.361</c:v>
                </c:pt>
                <c:pt idx="5">
                  <c:v>0.4221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比例</c:v>
                </c:pt>
              </c:strCache>
            </c:strRef>
          </c:tx>
          <c:spPr>
            <a:solidFill>
              <a:srgbClr val="C00000"/>
            </a:solidFill>
          </c:spPr>
          <c:explosion val="0"/>
          <c:dPt>
            <c:idx val="0"/>
            <c:bubble3D val="0"/>
            <c:spPr>
              <a:solidFill>
                <a:srgbClr val="B32B41"/>
              </a:solidFill>
              <a:ln w="19050">
                <a:solidFill>
                  <a:schemeClr val="lt1"/>
                </a:solidFill>
              </a:ln>
              <a:effectLst/>
            </c:spPr>
          </c:dPt>
          <c:dPt>
            <c:idx val="1"/>
            <c:bubble3D val="0"/>
            <c:spPr>
              <a:solidFill>
                <a:srgbClr val="D2445B"/>
              </a:solidFill>
              <a:ln w="19050">
                <a:solidFill>
                  <a:schemeClr val="lt1"/>
                </a:solidFill>
              </a:ln>
              <a:effectLst/>
            </c:spPr>
          </c:dPt>
          <c:dPt>
            <c:idx val="2"/>
            <c:bubble3D val="0"/>
            <c:spPr>
              <a:solidFill>
                <a:srgbClr val="EE536B"/>
              </a:solidFill>
              <a:ln w="19050">
                <a:solidFill>
                  <a:schemeClr val="lt1"/>
                </a:solidFill>
              </a:ln>
              <a:effectLst/>
            </c:spPr>
          </c:dPt>
          <c:dPt>
            <c:idx val="3"/>
            <c:bubble3D val="0"/>
            <c:spPr>
              <a:solidFill>
                <a:srgbClr val="FEC3CB"/>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非常积极</c:v>
                </c:pt>
                <c:pt idx="1">
                  <c:v>可有可无</c:v>
                </c:pt>
                <c:pt idx="2">
                  <c:v>没有必要</c:v>
                </c:pt>
                <c:pt idx="3">
                  <c:v>非常抗拒</c:v>
                </c:pt>
              </c:strCache>
            </c:strRef>
          </c:cat>
          <c:val>
            <c:numRef>
              <c:f>Sheet1!$B$2:$B$5</c:f>
              <c:numCache>
                <c:formatCode>0.00%</c:formatCode>
                <c:ptCount val="4"/>
                <c:pt idx="0">
                  <c:v>0.3764</c:v>
                </c:pt>
                <c:pt idx="1">
                  <c:v>0.2814</c:v>
                </c:pt>
                <c:pt idx="2">
                  <c:v>0.308</c:v>
                </c:pt>
                <c:pt idx="3">
                  <c:v>0.0342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44575"/>
          <c:y val="0.035"/>
          <c:w val="0.927925"/>
          <c:h val="0.882733333333333"/>
        </c:manualLayout>
      </c:layout>
      <c:barChart>
        <c:barDir val="col"/>
        <c:grouping val="clustered"/>
        <c:varyColors val="0"/>
        <c:ser>
          <c:idx val="0"/>
          <c:order val="0"/>
          <c:tx>
            <c:strRef>
              <c:f>Sheet1!$B$1</c:f>
              <c:strCache>
                <c:ptCount val="1"/>
                <c:pt idx="0">
                  <c:v>系列 1</c:v>
                </c:pt>
              </c:strCache>
            </c:strRef>
          </c:tx>
          <c:spPr>
            <a:solidFill>
              <a:srgbClr val="D03B5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食品类</c:v>
                </c:pt>
                <c:pt idx="1">
                  <c:v>服装类</c:v>
                </c:pt>
                <c:pt idx="2">
                  <c:v>日用品类</c:v>
                </c:pt>
                <c:pt idx="3">
                  <c:v>兴趣爱好类</c:v>
                </c:pt>
              </c:strCache>
            </c:strRef>
          </c:cat>
          <c:val>
            <c:numRef>
              <c:f>Sheet1!$B$2:$B$5</c:f>
              <c:numCache>
                <c:formatCode>0.00%</c:formatCode>
                <c:ptCount val="4"/>
                <c:pt idx="0">
                  <c:v>0.616</c:v>
                </c:pt>
                <c:pt idx="1">
                  <c:v>0.1179</c:v>
                </c:pt>
                <c:pt idx="2">
                  <c:v>0.1293</c:v>
                </c:pt>
                <c:pt idx="3">
                  <c:v>0.1369</c:v>
                </c:pt>
              </c:numCache>
            </c:numRef>
          </c:val>
        </c:ser>
        <c:dLbls>
          <c:showLegendKey val="0"/>
          <c:showVal val="1"/>
          <c:showCatName val="0"/>
          <c:showSerName val="0"/>
          <c:showPercent val="0"/>
          <c:showBubbleSize val="0"/>
        </c:dLbls>
        <c:gapWidth val="219"/>
        <c:overlap val="-27"/>
        <c:axId val="143719695"/>
        <c:axId val="346959561"/>
      </c:barChart>
      <c:catAx>
        <c:axId val="14371969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6959561"/>
        <c:crosses val="autoZero"/>
        <c:auto val="1"/>
        <c:lblAlgn val="ctr"/>
        <c:lblOffset val="100"/>
        <c:noMultiLvlLbl val="0"/>
      </c:catAx>
      <c:valAx>
        <c:axId val="34695956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719695"/>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中国家庭每月在婴童产品上支出范围</c:v>
                </c:pt>
              </c:strCache>
            </c:strRef>
          </c:tx>
          <c:spPr>
            <a:solidFill>
              <a:srgbClr val="D03B53"/>
            </a:solidFill>
            <a:ln>
              <a:noFill/>
            </a:ln>
            <a:effectLst/>
          </c:spPr>
          <c:invertIfNegative val="0"/>
          <c:dLbls>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0</c:v>
                </c:pt>
                <c:pt idx="1">
                  <c:v>(0 , 500）</c:v>
                </c:pt>
                <c:pt idx="2">
                  <c:v>[500 , 1000）</c:v>
                </c:pt>
                <c:pt idx="3">
                  <c:v>[1000 , 1500）</c:v>
                </c:pt>
                <c:pt idx="4">
                  <c:v>1500及以上</c:v>
                </c:pt>
              </c:strCache>
            </c:strRef>
          </c:cat>
          <c:val>
            <c:numRef>
              <c:f>Sheet1!$B$2:$B$6</c:f>
              <c:numCache>
                <c:formatCode>0.00%</c:formatCode>
                <c:ptCount val="5"/>
                <c:pt idx="0">
                  <c:v>0.0114</c:v>
                </c:pt>
                <c:pt idx="1">
                  <c:v>0.4335</c:v>
                </c:pt>
                <c:pt idx="2">
                  <c:v>0.3612</c:v>
                </c:pt>
                <c:pt idx="3">
                  <c:v>0.1217</c:v>
                </c:pt>
                <c:pt idx="4">
                  <c:v>0.0722</c:v>
                </c:pt>
              </c:numCache>
            </c:numRef>
          </c:val>
        </c:ser>
        <c:dLbls>
          <c:showLegendKey val="0"/>
          <c:showVal val="1"/>
          <c:showCatName val="0"/>
          <c:showSerName val="0"/>
          <c:showPercent val="0"/>
          <c:showBubbleSize val="0"/>
        </c:dLbls>
        <c:gapWidth val="219"/>
        <c:overlap val="-27"/>
        <c:axId val="1371300095"/>
        <c:axId val="1371301343"/>
      </c:barChart>
      <c:catAx>
        <c:axId val="1371300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301343"/>
        <c:crosses val="autoZero"/>
        <c:auto val="1"/>
        <c:lblAlgn val="ctr"/>
        <c:lblOffset val="100"/>
        <c:noMultiLvlLbl val="0"/>
      </c:catAx>
      <c:valAx>
        <c:axId val="137130134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3000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44575"/>
          <c:y val="0.035"/>
          <c:w val="0.927925"/>
          <c:h val="0.882733333333333"/>
        </c:manualLayout>
      </c:layout>
      <c:barChart>
        <c:barDir val="col"/>
        <c:grouping val="clustered"/>
        <c:varyColors val="0"/>
        <c:ser>
          <c:idx val="0"/>
          <c:order val="0"/>
          <c:tx>
            <c:strRef>
              <c:f>Sheet1!$B$1</c:f>
              <c:strCache>
                <c:ptCount val="1"/>
                <c:pt idx="0">
                  <c:v>系列 1</c:v>
                </c:pt>
              </c:strCache>
            </c:strRef>
          </c:tx>
          <c:spPr>
            <a:solidFill>
              <a:srgbClr val="D03B53"/>
            </a:solidFill>
            <a:ln>
              <a:noFill/>
            </a:ln>
            <a:effectLst/>
          </c:spPr>
          <c:invertIfNegative val="0"/>
          <c:dLbls>
            <c:spPr>
              <a:noFill/>
              <a:ln>
                <a:noFill/>
              </a:ln>
              <a:effectLst/>
            </c:spPr>
            <c:txPr>
              <a:bodyPr rot="0" spcFirstLastPara="0" vertOverflow="ellipsis" vert="horz" wrap="square" lIns="38100" tIns="19050" rIns="38100" bIns="19050" anchor="ctr" anchorCtr="0"/>
              <a:lstStyle/>
              <a:p>
                <a:pPr algn="ct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淘宝、京东等电商</c:v>
                </c:pt>
                <c:pt idx="1">
                  <c:v>超市</c:v>
                </c:pt>
                <c:pt idx="2">
                  <c:v>母婴店</c:v>
                </c:pt>
                <c:pt idx="3">
                  <c:v>社群微商</c:v>
                </c:pt>
              </c:strCache>
            </c:strRef>
          </c:cat>
          <c:val>
            <c:numRef>
              <c:f>Sheet1!$B$2:$B$5</c:f>
              <c:numCache>
                <c:formatCode>0.00%</c:formatCode>
                <c:ptCount val="4"/>
                <c:pt idx="0">
                  <c:v>0.6008</c:v>
                </c:pt>
                <c:pt idx="1">
                  <c:v>0.5856</c:v>
                </c:pt>
                <c:pt idx="2">
                  <c:v>0.4753</c:v>
                </c:pt>
                <c:pt idx="3">
                  <c:v>0.3498</c:v>
                </c:pt>
              </c:numCache>
            </c:numRef>
          </c:val>
        </c:ser>
        <c:dLbls>
          <c:showLegendKey val="0"/>
          <c:showVal val="1"/>
          <c:showCatName val="0"/>
          <c:showSerName val="0"/>
          <c:showPercent val="0"/>
          <c:showBubbleSize val="0"/>
        </c:dLbls>
        <c:gapWidth val="219"/>
        <c:overlap val="-27"/>
        <c:axId val="143719695"/>
        <c:axId val="346959561"/>
      </c:barChart>
      <c:catAx>
        <c:axId val="14371969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6959561"/>
        <c:crosses val="autoZero"/>
        <c:auto val="1"/>
        <c:lblAlgn val="ctr"/>
        <c:lblOffset val="100"/>
        <c:noMultiLvlLbl val="0"/>
      </c:catAx>
      <c:valAx>
        <c:axId val="34695956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719695"/>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44575"/>
          <c:y val="0.035"/>
          <c:w val="0.927925"/>
          <c:h val="0.882733333333333"/>
        </c:manualLayout>
      </c:layout>
      <c:barChart>
        <c:barDir val="col"/>
        <c:grouping val="clustered"/>
        <c:varyColors val="0"/>
        <c:ser>
          <c:idx val="0"/>
          <c:order val="0"/>
          <c:tx>
            <c:strRef>
              <c:f>Sheet1!$B$1</c:f>
              <c:strCache>
                <c:ptCount val="1"/>
                <c:pt idx="0">
                  <c:v>比例</c:v>
                </c:pt>
              </c:strCache>
            </c:strRef>
          </c:tx>
          <c:spPr>
            <a:solidFill>
              <a:srgbClr val="D03B53"/>
            </a:solidFill>
            <a:ln>
              <a:noFill/>
            </a:ln>
            <a:effectLst/>
          </c:spPr>
          <c:invertIfNegative val="0"/>
          <c:dLbls>
            <c:delete val="1"/>
          </c:dLbls>
          <c:cat>
            <c:strRef>
              <c:f>Sheet1!$A$2:$A$7</c:f>
              <c:strCache>
                <c:ptCount val="6"/>
                <c:pt idx="0">
                  <c:v>抖音、小红书等博主推荐</c:v>
                </c:pt>
                <c:pt idx="1">
                  <c:v>母婴店推荐</c:v>
                </c:pt>
                <c:pt idx="2">
                  <c:v>淘宝、京东等电商平台</c:v>
                </c:pt>
                <c:pt idx="3">
                  <c:v>朋友介绍</c:v>
                </c:pt>
                <c:pt idx="4">
                  <c:v>微信社群</c:v>
                </c:pt>
                <c:pt idx="5">
                  <c:v>其它</c:v>
                </c:pt>
              </c:strCache>
            </c:strRef>
          </c:cat>
          <c:val>
            <c:numRef>
              <c:f>Sheet1!$B$2:$B$7</c:f>
              <c:numCache>
                <c:formatCode>0.00%</c:formatCode>
                <c:ptCount val="6"/>
                <c:pt idx="0">
                  <c:v>0.5793</c:v>
                </c:pt>
                <c:pt idx="1">
                  <c:v>0.4621</c:v>
                </c:pt>
                <c:pt idx="2">
                  <c:v>0.4138</c:v>
                </c:pt>
                <c:pt idx="3">
                  <c:v>0.3655</c:v>
                </c:pt>
                <c:pt idx="4">
                  <c:v>0.2879</c:v>
                </c:pt>
                <c:pt idx="5">
                  <c:v>0.0138</c:v>
                </c:pt>
              </c:numCache>
            </c:numRef>
          </c:val>
        </c:ser>
        <c:dLbls>
          <c:showLegendKey val="0"/>
          <c:showVal val="0"/>
          <c:showCatName val="0"/>
          <c:showSerName val="0"/>
          <c:showPercent val="0"/>
          <c:showBubbleSize val="0"/>
        </c:dLbls>
        <c:gapWidth val="219"/>
        <c:overlap val="-27"/>
        <c:axId val="143719695"/>
        <c:axId val="346959561"/>
      </c:barChart>
      <c:catAx>
        <c:axId val="14371969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6959561"/>
        <c:crosses val="autoZero"/>
        <c:auto val="1"/>
        <c:lblAlgn val="ctr"/>
        <c:lblOffset val="100"/>
        <c:noMultiLvlLbl val="0"/>
      </c:catAx>
      <c:valAx>
        <c:axId val="34695956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7196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占比</c:v>
                </c:pt>
              </c:strCache>
            </c:strRef>
          </c:tx>
          <c:spPr>
            <a:solidFill>
              <a:srgbClr val="D03B53"/>
            </a:solidFill>
            <a:ln>
              <a:noFill/>
            </a:ln>
            <a:effectLst/>
          </c:spPr>
          <c:invertIfNegative val="0"/>
          <c:dLbls>
            <c:dLbl>
              <c:idx val="0"/>
              <c:layout>
                <c:manualLayout>
                  <c:x val="-0.00191806567765835"/>
                  <c:y val="0.021277284456930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满减</c:v>
                </c:pt>
                <c:pt idx="1">
                  <c:v>优惠券</c:v>
                </c:pt>
                <c:pt idx="2">
                  <c:v>团购</c:v>
                </c:pt>
                <c:pt idx="3">
                  <c:v>折扣</c:v>
                </c:pt>
              </c:strCache>
            </c:strRef>
          </c:cat>
          <c:val>
            <c:numRef>
              <c:f>Sheet1!$B$2:$B$5</c:f>
              <c:numCache>
                <c:formatCode>0.00%</c:formatCode>
                <c:ptCount val="4"/>
                <c:pt idx="0">
                  <c:v>0.6034</c:v>
                </c:pt>
                <c:pt idx="1">
                  <c:v>0.5345</c:v>
                </c:pt>
                <c:pt idx="2">
                  <c:v>0.4483</c:v>
                </c:pt>
                <c:pt idx="3">
                  <c:v>0.4483</c:v>
                </c:pt>
              </c:numCache>
            </c:numRef>
          </c:val>
        </c:ser>
        <c:dLbls>
          <c:showLegendKey val="0"/>
          <c:showVal val="1"/>
          <c:showCatName val="0"/>
          <c:showSerName val="0"/>
          <c:showPercent val="0"/>
          <c:showBubbleSize val="0"/>
        </c:dLbls>
        <c:gapWidth val="182"/>
        <c:axId val="235385922"/>
        <c:axId val="153220226"/>
      </c:barChart>
      <c:catAx>
        <c:axId val="235385922"/>
        <c:scaling>
          <c:orientation val="minMax"/>
        </c:scaling>
        <c:delete val="0"/>
        <c:axPos val="l"/>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220226"/>
        <c:crosses val="autoZero"/>
        <c:auto val="1"/>
        <c:lblAlgn val="ctr"/>
        <c:lblOffset val="100"/>
        <c:noMultiLvlLbl val="0"/>
      </c:catAx>
      <c:valAx>
        <c:axId val="15322022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5385922"/>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品牌指数</c:v>
                </c:pt>
              </c:strCache>
            </c:strRef>
          </c:tx>
          <c:spPr>
            <a:solidFill>
              <a:srgbClr val="D03B5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班杰威尔</c:v>
                </c:pt>
                <c:pt idx="1">
                  <c:v>子初</c:v>
                </c:pt>
                <c:pt idx="2">
                  <c:v>BABYCARE</c:v>
                </c:pt>
                <c:pt idx="3">
                  <c:v>全棉时代</c:v>
                </c:pt>
                <c:pt idx="4">
                  <c:v>波咯咯</c:v>
                </c:pt>
                <c:pt idx="5">
                  <c:v>可优比</c:v>
                </c:pt>
                <c:pt idx="6">
                  <c:v>英氏</c:v>
                </c:pt>
                <c:pt idx="7">
                  <c:v>郁美净</c:v>
                </c:pt>
                <c:pt idx="8">
                  <c:v>好孩子</c:v>
                </c:pt>
                <c:pt idx="9">
                  <c:v>巴拉巴拉</c:v>
                </c:pt>
              </c:strCache>
            </c:strRef>
          </c:cat>
          <c:val>
            <c:numRef>
              <c:f>Sheet1!$B$2:$B$11</c:f>
              <c:numCache>
                <c:formatCode>General</c:formatCode>
                <c:ptCount val="10"/>
                <c:pt idx="0">
                  <c:v>8.6</c:v>
                </c:pt>
                <c:pt idx="1">
                  <c:v>8.6</c:v>
                </c:pt>
                <c:pt idx="2">
                  <c:v>8.8</c:v>
                </c:pt>
                <c:pt idx="3">
                  <c:v>8.9</c:v>
                </c:pt>
                <c:pt idx="4">
                  <c:v>9</c:v>
                </c:pt>
                <c:pt idx="5">
                  <c:v>9.1</c:v>
                </c:pt>
                <c:pt idx="6">
                  <c:v>9.1</c:v>
                </c:pt>
                <c:pt idx="7">
                  <c:v>9.5</c:v>
                </c:pt>
                <c:pt idx="8">
                  <c:v>9.5</c:v>
                </c:pt>
                <c:pt idx="9">
                  <c:v>9.9</c:v>
                </c:pt>
              </c:numCache>
            </c:numRef>
          </c:val>
        </c:ser>
        <c:dLbls>
          <c:showLegendKey val="0"/>
          <c:showVal val="1"/>
          <c:showCatName val="0"/>
          <c:showSerName val="0"/>
          <c:showPercent val="0"/>
          <c:showBubbleSize val="0"/>
        </c:dLbls>
        <c:gapWidth val="182"/>
        <c:axId val="839658746"/>
        <c:axId val="282824190"/>
      </c:barChart>
      <c:catAx>
        <c:axId val="839658746"/>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crossAx val="282824190"/>
        <c:crosses val="autoZero"/>
        <c:auto val="1"/>
        <c:lblAlgn val="ctr"/>
        <c:lblOffset val="100"/>
        <c:noMultiLvlLbl val="0"/>
      </c:catAx>
      <c:valAx>
        <c:axId val="28282419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3965874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rgbClr val="F46C99"/>
            </a:solidFill>
            <a:ln>
              <a:noFill/>
            </a:ln>
            <a:effectLst/>
          </c:spPr>
          <c:invertIfNegative val="0"/>
          <c:dLbls>
            <c:spPr>
              <a:noFill/>
              <a:ln>
                <a:noFill/>
              </a:ln>
              <a:effectLst/>
            </c:spPr>
            <c:txPr>
              <a:bodyPr rot="0" spcFirstLastPara="1" vertOverflow="ellipsis" vert="horz" wrap="square" lIns="38100" tIns="19050" rIns="38100" bIns="19050" anchor="ctr" anchorCtr="1"/>
              <a:lstStyle/>
              <a:p>
                <a:pPr>
                  <a:defRPr lang="zh-CN" sz="7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领域专家</c:v>
                </c:pt>
                <c:pt idx="1">
                  <c:v>网红博主</c:v>
                </c:pt>
                <c:pt idx="2">
                  <c:v>好友推荐</c:v>
                </c:pt>
                <c:pt idx="3">
                  <c:v>母婴店推荐</c:v>
                </c:pt>
              </c:strCache>
            </c:strRef>
          </c:cat>
          <c:val>
            <c:numRef>
              <c:f>Sheet1!$B$2:$B$5</c:f>
              <c:numCache>
                <c:formatCode>0.00%</c:formatCode>
                <c:ptCount val="4"/>
                <c:pt idx="0">
                  <c:v>0.5172</c:v>
                </c:pt>
                <c:pt idx="1">
                  <c:v>0.4517</c:v>
                </c:pt>
                <c:pt idx="2" c:formatCode="0%">
                  <c:v>0.5</c:v>
                </c:pt>
                <c:pt idx="3">
                  <c:v>0.5828</c:v>
                </c:pt>
              </c:numCache>
            </c:numRef>
          </c:val>
        </c:ser>
        <c:dLbls>
          <c:showLegendKey val="0"/>
          <c:showVal val="1"/>
          <c:showCatName val="0"/>
          <c:showSerName val="0"/>
          <c:showPercent val="0"/>
          <c:showBubbleSize val="0"/>
        </c:dLbls>
        <c:gapWidth val="219"/>
        <c:overlap val="-27"/>
        <c:axId val="1948925135"/>
        <c:axId val="1948923471"/>
      </c:barChart>
      <c:catAx>
        <c:axId val="1948925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948923471"/>
        <c:crosses val="autoZero"/>
        <c:auto val="1"/>
        <c:lblAlgn val="ctr"/>
        <c:lblOffset val="100"/>
        <c:noMultiLvlLbl val="0"/>
      </c:catAx>
      <c:valAx>
        <c:axId val="194892347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9489251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00"/>
      </a:pPr>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587303914382"/>
          <c:y val="0.0534238488783943"/>
          <c:w val="0.845829057322973"/>
          <c:h val="0.734769775678867"/>
        </c:manualLayout>
      </c:layout>
      <c:barChart>
        <c:barDir val="col"/>
        <c:grouping val="clustered"/>
        <c:varyColors val="0"/>
        <c:ser>
          <c:idx val="0"/>
          <c:order val="0"/>
          <c:tx>
            <c:strRef>
              <c:f>Sheet1!$B$1</c:f>
              <c:strCache>
                <c:ptCount val="1"/>
                <c:pt idx="0">
                  <c:v>系列 1</c:v>
                </c:pt>
              </c:strCache>
            </c:strRef>
          </c:tx>
          <c:spPr>
            <a:solidFill>
              <a:srgbClr val="EE2E65"/>
            </a:solidFill>
            <a:ln>
              <a:noFill/>
            </a:ln>
            <a:effectLst/>
          </c:spPr>
          <c:invertIfNegative val="0"/>
          <c:dLbls>
            <c:spPr>
              <a:noFill/>
              <a:ln>
                <a:noFill/>
              </a:ln>
              <a:effectLst/>
            </c:spPr>
            <c:txPr>
              <a:bodyPr rot="0" spcFirstLastPara="1" vertOverflow="ellipsis" vert="horz" wrap="square" lIns="38100" tIns="19050" rIns="38100" bIns="19050" anchor="ctr" anchorCtr="1"/>
              <a:lstStyle/>
              <a:p>
                <a:pPr>
                  <a:defRPr lang="zh-CN" sz="7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商品是我感兴趣的</c:v>
                </c:pt>
                <c:pt idx="1">
                  <c:v>推广活动/话题更吸引我</c:v>
                </c:pt>
                <c:pt idx="2">
                  <c:v>对于投放广告的平台更感兴趣</c:v>
                </c:pt>
                <c:pt idx="3">
                  <c:v>广告创意有趣</c:v>
                </c:pt>
                <c:pt idx="4">
                  <c:v>广告内容制作精美</c:v>
                </c:pt>
                <c:pt idx="5">
                  <c:v>有促销折扣消息</c:v>
                </c:pt>
                <c:pt idx="6">
                  <c:v>频繁看到广告引起注意</c:v>
                </c:pt>
                <c:pt idx="7">
                  <c:v>有互动游戏，参与性强</c:v>
                </c:pt>
                <c:pt idx="8">
                  <c:v>其他</c:v>
                </c:pt>
              </c:strCache>
            </c:strRef>
          </c:cat>
          <c:val>
            <c:numRef>
              <c:f>Sheet1!$B$2:$B$10</c:f>
              <c:numCache>
                <c:formatCode>0.00%</c:formatCode>
                <c:ptCount val="9"/>
                <c:pt idx="0">
                  <c:v>0.4552</c:v>
                </c:pt>
                <c:pt idx="1">
                  <c:v>0.5759</c:v>
                </c:pt>
                <c:pt idx="2">
                  <c:v>0.5379</c:v>
                </c:pt>
                <c:pt idx="3">
                  <c:v>0.4069</c:v>
                </c:pt>
                <c:pt idx="4">
                  <c:v>0.2448</c:v>
                </c:pt>
                <c:pt idx="5">
                  <c:v>0.3138</c:v>
                </c:pt>
                <c:pt idx="6">
                  <c:v>0.2655</c:v>
                </c:pt>
                <c:pt idx="7">
                  <c:v>0.2655</c:v>
                </c:pt>
                <c:pt idx="8">
                  <c:v>0.0793</c:v>
                </c:pt>
              </c:numCache>
            </c:numRef>
          </c:val>
        </c:ser>
        <c:dLbls>
          <c:showLegendKey val="0"/>
          <c:showVal val="1"/>
          <c:showCatName val="0"/>
          <c:showSerName val="0"/>
          <c:showPercent val="0"/>
          <c:showBubbleSize val="0"/>
        </c:dLbls>
        <c:gapWidth val="219"/>
        <c:overlap val="-27"/>
        <c:axId val="1859520063"/>
        <c:axId val="1859505919"/>
      </c:barChart>
      <c:catAx>
        <c:axId val="185952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859505919"/>
        <c:crosses val="autoZero"/>
        <c:auto val="1"/>
        <c:lblAlgn val="ctr"/>
        <c:lblOffset val="100"/>
        <c:noMultiLvlLbl val="0"/>
      </c:catAx>
      <c:valAx>
        <c:axId val="185950591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85952006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lang="zh-CN" sz="600" b="0" i="0" u="none" strike="noStrike" kern="1200" baseline="0">
                <a:solidFill>
                  <a:schemeClr val="tx1">
                    <a:lumMod val="65000"/>
                    <a:lumOff val="35000"/>
                  </a:schemeClr>
                </a:solidFill>
                <a:latin typeface="+mn-ea"/>
                <a:ea typeface="+mn-ea"/>
                <a:cs typeface="+mn-cs"/>
              </a:defRPr>
            </a:pPr>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00"/>
      </a:pPr>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rgbClr val="FF0066"/>
              </a:solidFill>
              <a:ln w="19050">
                <a:solidFill>
                  <a:schemeClr val="lt1"/>
                </a:solidFill>
              </a:ln>
              <a:effectLst/>
            </c:spPr>
          </c:dPt>
          <c:dPt>
            <c:idx val="1"/>
            <c:bubble3D val="0"/>
            <c:spPr>
              <a:solidFill>
                <a:schemeClr val="bg1">
                  <a:lumMod val="85000"/>
                </a:schemeClr>
              </a:solidFill>
              <a:ln w="19050">
                <a:solidFill>
                  <a:schemeClr val="lt1"/>
                </a:solidFill>
              </a:ln>
              <a:effectLst/>
            </c:spPr>
          </c:dPt>
          <c:dPt>
            <c:idx val="2"/>
            <c:bubble3D val="0"/>
            <c:spPr>
              <a:solidFill>
                <a:srgbClr val="FF69B4"/>
              </a:solidFill>
              <a:ln w="19050">
                <a:solidFill>
                  <a:schemeClr val="lt1"/>
                </a:solidFill>
              </a:ln>
              <a:effectLst/>
            </c:spPr>
          </c:dPt>
          <c:dPt>
            <c:idx val="3"/>
            <c:bubble3D val="0"/>
            <c:spPr>
              <a:solidFill>
                <a:srgbClr val="F35792"/>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[工作簿1]Sheet1!$E$3:$E$6</c:f>
              <c:strCache>
                <c:ptCount val="4"/>
                <c:pt idx="0">
                  <c:v>研发费用及人才引进</c:v>
                </c:pt>
                <c:pt idx="1">
                  <c:v>服务人员聘请及团队培训</c:v>
                </c:pt>
                <c:pt idx="2">
                  <c:v>主营业务生产等相关开支</c:v>
                </c:pt>
                <c:pt idx="3">
                  <c:v>广告费用</c:v>
                </c:pt>
              </c:strCache>
            </c:strRef>
          </c:cat>
          <c:val>
            <c:numRef>
              <c:f>[工作簿1]Sheet1!$F$3:$F$6</c:f>
              <c:numCache>
                <c:formatCode>0%</c:formatCode>
                <c:ptCount val="4"/>
                <c:pt idx="0">
                  <c:v>0.22</c:v>
                </c:pt>
                <c:pt idx="1">
                  <c:v>0.22</c:v>
                </c:pt>
                <c:pt idx="2">
                  <c:v>0.41</c:v>
                </c:pt>
                <c:pt idx="3">
                  <c:v>0.15</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通常购买婴童产品的渠道占比</c:v>
                </c:pt>
              </c:strCache>
            </c:strRef>
          </c:tx>
          <c:spPr>
            <a:solidFill>
              <a:srgbClr val="EE536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6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超市</c:v>
                </c:pt>
                <c:pt idx="1">
                  <c:v>母婴店</c:v>
                </c:pt>
                <c:pt idx="2">
                  <c:v>社群微商</c:v>
                </c:pt>
                <c:pt idx="3">
                  <c:v>淘宝京东等电商</c:v>
                </c:pt>
              </c:strCache>
            </c:strRef>
          </c:cat>
          <c:val>
            <c:numRef>
              <c:f>Sheet1!$B$2:$B$5</c:f>
              <c:numCache>
                <c:formatCode>0.00%</c:formatCode>
                <c:ptCount val="4"/>
                <c:pt idx="0">
                  <c:v>0.2911</c:v>
                </c:pt>
                <c:pt idx="1">
                  <c:v>0.2362</c:v>
                </c:pt>
                <c:pt idx="2">
                  <c:v>0.1739</c:v>
                </c:pt>
                <c:pt idx="3">
                  <c:v>0.2986</c:v>
                </c:pt>
              </c:numCache>
            </c:numRef>
          </c:val>
        </c:ser>
        <c:dLbls>
          <c:showLegendKey val="0"/>
          <c:showVal val="1"/>
          <c:showCatName val="0"/>
          <c:showSerName val="0"/>
          <c:showPercent val="0"/>
          <c:showBubbleSize val="0"/>
        </c:dLbls>
        <c:gapWidth val="219"/>
        <c:overlap val="-27"/>
        <c:axId val="1608053759"/>
        <c:axId val="1608052927"/>
      </c:barChart>
      <c:catAx>
        <c:axId val="1608053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608052927"/>
        <c:crosses val="autoZero"/>
        <c:auto val="1"/>
        <c:lblAlgn val="ctr"/>
        <c:lblOffset val="100"/>
        <c:noMultiLvlLbl val="0"/>
      </c:catAx>
      <c:valAx>
        <c:axId val="160805292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608053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线上市场</c:v>
                </c:pt>
              </c:strCache>
            </c:strRef>
          </c:tx>
          <c:spPr>
            <a:ln w="28575" cap="rnd">
              <a:solidFill>
                <a:srgbClr val="FEC3CB"/>
              </a:solidFill>
              <a:round/>
            </a:ln>
            <a:effectLst/>
          </c:spPr>
          <c:marker>
            <c:symbol val="none"/>
          </c:marker>
          <c:dLbls>
            <c:dLbl>
              <c:idx val="3"/>
              <c:layout>
                <c:manualLayout>
                  <c:x val="-0.0453829979656107"/>
                  <c:y val="-0.0705573568009882"/>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2020Q3</c:v>
                </c:pt>
                <c:pt idx="1">
                  <c:v>2020Q4</c:v>
                </c:pt>
                <c:pt idx="2">
                  <c:v>2021Q1</c:v>
                </c:pt>
                <c:pt idx="3">
                  <c:v>2021Q2</c:v>
                </c:pt>
              </c:strCache>
            </c:strRef>
          </c:cat>
          <c:val>
            <c:numRef>
              <c:f>Sheet1!$B$2:$B$5</c:f>
              <c:numCache>
                <c:formatCode>0%</c:formatCode>
                <c:ptCount val="4"/>
                <c:pt idx="0">
                  <c:v>0.16</c:v>
                </c:pt>
                <c:pt idx="1">
                  <c:v>0.17</c:v>
                </c:pt>
                <c:pt idx="2">
                  <c:v>0.11</c:v>
                </c:pt>
                <c:pt idx="3" c:formatCode="0.00%">
                  <c:v>0.059</c:v>
                </c:pt>
              </c:numCache>
            </c:numRef>
          </c:val>
          <c:smooth val="0"/>
        </c:ser>
        <c:ser>
          <c:idx val="1"/>
          <c:order val="1"/>
          <c:tx>
            <c:strRef>
              <c:f>Sheet1!$C$1</c:f>
              <c:strCache>
                <c:ptCount val="1"/>
                <c:pt idx="0">
                  <c:v>线下市场</c:v>
                </c:pt>
              </c:strCache>
            </c:strRef>
          </c:tx>
          <c:spPr>
            <a:ln w="28575" cap="rnd">
              <a:solidFill>
                <a:srgbClr val="EE536B"/>
              </a:solidFill>
              <a:round/>
            </a:ln>
            <a:effectLst/>
          </c:spPr>
          <c:marker>
            <c:symbol val="none"/>
          </c:marker>
          <c:dLbls>
            <c:dLbl>
              <c:idx val="2"/>
              <c:layout>
                <c:manualLayout>
                  <c:x val="-0.0412232121358054"/>
                  <c:y val="0.0326418176056167"/>
                </c:manualLayout>
              </c:layout>
              <c:dLblPos val="r"/>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55014589586126"/>
                  <c:y val="0.0326418176056166"/>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2020Q3</c:v>
                </c:pt>
                <c:pt idx="1">
                  <c:v>2020Q4</c:v>
                </c:pt>
                <c:pt idx="2">
                  <c:v>2021Q1</c:v>
                </c:pt>
                <c:pt idx="3">
                  <c:v>2021Q2</c:v>
                </c:pt>
              </c:strCache>
            </c:strRef>
          </c:cat>
          <c:val>
            <c:numRef>
              <c:f>Sheet1!$C$2:$C$5</c:f>
              <c:numCache>
                <c:formatCode>0.00%</c:formatCode>
                <c:ptCount val="4"/>
                <c:pt idx="0">
                  <c:v>0.024</c:v>
                </c:pt>
                <c:pt idx="1" c:formatCode="0%">
                  <c:v>0.001</c:v>
                </c:pt>
                <c:pt idx="2" c:formatCode="0%">
                  <c:v>0.08</c:v>
                </c:pt>
                <c:pt idx="3">
                  <c:v>0.051</c:v>
                </c:pt>
              </c:numCache>
            </c:numRef>
          </c:val>
          <c:smooth val="0"/>
        </c:ser>
        <c:ser>
          <c:idx val="2"/>
          <c:order val="2"/>
          <c:tx>
            <c:strRef>
              <c:f>Sheet1!$D$1</c:f>
              <c:strCache>
                <c:ptCount val="1"/>
                <c:pt idx="0">
                  <c:v>整体市场</c:v>
                </c:pt>
              </c:strCache>
            </c:strRef>
          </c:tx>
          <c:spPr>
            <a:ln w="28575" cap="rnd">
              <a:solidFill>
                <a:srgbClr val="D03B53"/>
              </a:solidFill>
              <a:round/>
            </a:ln>
            <a:effectLst/>
          </c:spPr>
          <c:marker>
            <c:symbol val="none"/>
          </c:marker>
          <c:dLbls>
            <c:dLbl>
              <c:idx val="2"/>
              <c:layout>
                <c:manualLayout>
                  <c:x val="-0.0508548037563207"/>
                  <c:y val="-0.0375336209908747"/>
                </c:manualLayout>
              </c:layout>
              <c:dLblPos val="r"/>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0277496013696578"/>
                  <c:y val="-0.0210217530858179"/>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2020Q3</c:v>
                </c:pt>
                <c:pt idx="1">
                  <c:v>2020Q4</c:v>
                </c:pt>
                <c:pt idx="2">
                  <c:v>2021Q1</c:v>
                </c:pt>
                <c:pt idx="3">
                  <c:v>2021Q2</c:v>
                </c:pt>
              </c:strCache>
            </c:strRef>
          </c:cat>
          <c:val>
            <c:numRef>
              <c:f>Sheet1!$D$2:$D$5</c:f>
              <c:numCache>
                <c:formatCode>0%</c:formatCode>
                <c:ptCount val="4"/>
                <c:pt idx="0">
                  <c:v>0.05</c:v>
                </c:pt>
                <c:pt idx="1">
                  <c:v>0.08</c:v>
                </c:pt>
                <c:pt idx="2">
                  <c:v>0.09</c:v>
                </c:pt>
                <c:pt idx="3" c:formatCode="0.00%">
                  <c:v>0.054</c:v>
                </c:pt>
              </c:numCache>
            </c:numRef>
          </c:val>
          <c:smooth val="0"/>
        </c:ser>
        <c:dLbls>
          <c:showLegendKey val="0"/>
          <c:showVal val="1"/>
          <c:showCatName val="0"/>
          <c:showSerName val="0"/>
          <c:showPercent val="0"/>
          <c:showBubbleSize val="0"/>
        </c:dLbls>
        <c:marker val="0"/>
        <c:smooth val="0"/>
        <c:axId val="1389038991"/>
        <c:axId val="1389037743"/>
      </c:lineChart>
      <c:catAx>
        <c:axId val="1389038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89037743"/>
        <c:crosses val="autoZero"/>
        <c:auto val="1"/>
        <c:lblAlgn val="ctr"/>
        <c:lblOffset val="100"/>
        <c:noMultiLvlLbl val="0"/>
      </c:catAx>
      <c:valAx>
        <c:axId val="138903774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8903899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Sheet1!$B$1</c:f>
              <c:strCache>
                <c:ptCount val="1"/>
                <c:pt idx="0">
                  <c:v>2022年中国消费者购买母婴童产品时对相关因素的重视程度</c:v>
                </c:pt>
              </c:strCache>
            </c:strRef>
          </c:tx>
          <c:spPr>
            <a:ln w="28575" cap="rnd">
              <a:solidFill>
                <a:srgbClr val="FEC3CB"/>
              </a:solidFill>
              <a:round/>
            </a:ln>
            <a:effectLst/>
          </c:spPr>
          <c:marker>
            <c:symbol val="none"/>
          </c:marker>
          <c:dLbls>
            <c:dLbl>
              <c:idx val="2"/>
              <c:layout>
                <c:manualLayout>
                  <c:x val="0.00455477112275108"/>
                  <c:y val="-0.0357909806728704"/>
                </c:manualLayout>
              </c:layou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318833978592575"/>
                  <c:y val="-0.0143163922691482"/>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600" b="0" i="0" u="none" strike="noStrike" kern="1200" baseline="0">
                    <a:solidFill>
                      <a:schemeClr val="tx1">
                        <a:lumMod val="75000"/>
                        <a:lumOff val="25000"/>
                      </a:schemeClr>
                    </a:solidFill>
                    <a:latin typeface="+mn-lt"/>
                    <a:ea typeface="+mn-ea"/>
                    <a:cs typeface="+mn-cs"/>
                  </a:defRPr>
                </a:pPr>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安全可靠</c:v>
                </c:pt>
                <c:pt idx="1">
                  <c:v>设计美观</c:v>
                </c:pt>
                <c:pt idx="2">
                  <c:v>实用性</c:v>
                </c:pt>
                <c:pt idx="3">
                  <c:v>性价比高</c:v>
                </c:pt>
                <c:pt idx="4">
                  <c:v>品牌知名度</c:v>
                </c:pt>
              </c:strCache>
            </c:strRef>
          </c:cat>
          <c:val>
            <c:numRef>
              <c:f>Sheet1!$B$2:$B$6</c:f>
              <c:numCache>
                <c:formatCode>General</c:formatCode>
                <c:ptCount val="5"/>
                <c:pt idx="0">
                  <c:v>115</c:v>
                </c:pt>
                <c:pt idx="1">
                  <c:v>96</c:v>
                </c:pt>
                <c:pt idx="2">
                  <c:v>148</c:v>
                </c:pt>
                <c:pt idx="3">
                  <c:v>165</c:v>
                </c:pt>
                <c:pt idx="4">
                  <c:v>125</c:v>
                </c:pt>
              </c:numCache>
            </c:numRef>
          </c:val>
        </c:ser>
        <c:dLbls>
          <c:showLegendKey val="0"/>
          <c:showVal val="1"/>
          <c:showCatName val="0"/>
          <c:showSerName val="0"/>
          <c:showPercent val="0"/>
          <c:showBubbleSize val="0"/>
        </c:dLbls>
        <c:axId val="1371300927"/>
        <c:axId val="1371297183"/>
      </c:radarChart>
      <c:catAx>
        <c:axId val="1371300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297183"/>
        <c:crosses val="autoZero"/>
        <c:auto val="1"/>
        <c:lblAlgn val="ctr"/>
        <c:lblOffset val="100"/>
        <c:noMultiLvlLbl val="0"/>
      </c:catAx>
      <c:valAx>
        <c:axId val="1371297183"/>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txPr>
          <a:bodyPr rot="-60000000" spcFirstLastPara="0"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3009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2022年中国消费者对婴童产品的品牌关注度</c:v>
                </c:pt>
              </c:strCache>
            </c:strRef>
          </c:tx>
          <c:spPr>
            <a:solidFill>
              <a:srgbClr val="D03B53"/>
            </a:solidFill>
            <a:ln>
              <a:solidFill>
                <a:srgbClr val="D03B53"/>
              </a:solidFill>
            </a:ln>
            <a:effectLst/>
          </c:spPr>
          <c:invertIfNegative val="0"/>
          <c:dPt>
            <c:idx val="1"/>
            <c:invertIfNegative val="0"/>
            <c:bubble3D val="0"/>
            <c:spPr>
              <a:solidFill>
                <a:srgbClr val="FEC3CB"/>
              </a:solidFill>
              <a:ln>
                <a:solidFill>
                  <a:srgbClr val="FEC3CB"/>
                </a:solidFill>
              </a:ln>
              <a:effectLst/>
            </c:spPr>
          </c:dPt>
          <c:dPt>
            <c:idx val="3"/>
            <c:invertIfNegative val="0"/>
            <c:bubble3D val="0"/>
            <c:spPr>
              <a:solidFill>
                <a:srgbClr val="FEC3CB"/>
              </a:solidFill>
              <a:ln>
                <a:solidFill>
                  <a:srgbClr val="FEC3CB"/>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国际品牌</c:v>
                </c:pt>
                <c:pt idx="1">
                  <c:v>国内一线品牌</c:v>
                </c:pt>
                <c:pt idx="2">
                  <c:v>国内小众品牌</c:v>
                </c:pt>
                <c:pt idx="3">
                  <c:v>不关注品牌</c:v>
                </c:pt>
              </c:strCache>
            </c:strRef>
          </c:cat>
          <c:val>
            <c:numRef>
              <c:f>Sheet1!$B$2:$B$5</c:f>
              <c:numCache>
                <c:formatCode>0.00%</c:formatCode>
                <c:ptCount val="4"/>
                <c:pt idx="0">
                  <c:v>0.1723</c:v>
                </c:pt>
                <c:pt idx="1">
                  <c:v>0.4307</c:v>
                </c:pt>
                <c:pt idx="2">
                  <c:v>0.191</c:v>
                </c:pt>
                <c:pt idx="3">
                  <c:v>0.206</c:v>
                </c:pt>
              </c:numCache>
            </c:numRef>
          </c:val>
        </c:ser>
        <c:dLbls>
          <c:showLegendKey val="0"/>
          <c:showVal val="1"/>
          <c:showCatName val="0"/>
          <c:showSerName val="0"/>
          <c:showPercent val="0"/>
          <c:showBubbleSize val="0"/>
        </c:dLbls>
        <c:gapWidth val="219"/>
        <c:overlap val="-27"/>
        <c:axId val="1375513871"/>
        <c:axId val="1375504303"/>
      </c:barChart>
      <c:catAx>
        <c:axId val="137551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375504303"/>
        <c:crosses val="autoZero"/>
        <c:auto val="1"/>
        <c:lblAlgn val="ctr"/>
        <c:lblOffset val="100"/>
        <c:noMultiLvlLbl val="0"/>
      </c:catAx>
      <c:valAx>
        <c:axId val="13755043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3755138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00"/>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rgbClr val="FEC3CB"/>
              </a:solidFill>
              <a:ln w="19050">
                <a:solidFill>
                  <a:schemeClr val="lt1"/>
                </a:solidFill>
              </a:ln>
              <a:effectLst/>
            </c:spPr>
          </c:dPt>
          <c:dPt>
            <c:idx val="1"/>
            <c:bubble3D val="0"/>
            <c:spPr>
              <a:solidFill>
                <a:srgbClr val="D03B53"/>
              </a:solidFill>
              <a:ln w="19050">
                <a:solidFill>
                  <a:schemeClr val="lt1"/>
                </a:solidFill>
              </a:ln>
              <a:effectLst/>
            </c:spPr>
          </c:dPt>
          <c:dPt>
            <c:idx val="2"/>
            <c:bubble3D val="0"/>
            <c:spPr>
              <a:solidFill>
                <a:srgbClr val="EF0B7D"/>
              </a:solidFill>
              <a:ln w="19050">
                <a:solidFill>
                  <a:schemeClr val="lt1"/>
                </a:solidFill>
              </a:ln>
              <a:effectLst/>
            </c:spPr>
          </c:dPt>
          <c:dPt>
            <c:idx val="3"/>
            <c:bubble3D val="0"/>
            <c:spPr>
              <a:solidFill>
                <a:srgbClr val="EE536B"/>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食品类</c:v>
                </c:pt>
                <c:pt idx="1">
                  <c:v>服装类</c:v>
                </c:pt>
                <c:pt idx="2">
                  <c:v>日用品类</c:v>
                </c:pt>
                <c:pt idx="3">
                  <c:v>兴趣爱好类</c:v>
                </c:pt>
              </c:strCache>
            </c:strRef>
          </c:cat>
          <c:val>
            <c:numRef>
              <c:f>Sheet1!$B$2:$B$5</c:f>
              <c:numCache>
                <c:formatCode>0.00%</c:formatCode>
                <c:ptCount val="4"/>
                <c:pt idx="0">
                  <c:v>0.616</c:v>
                </c:pt>
                <c:pt idx="1">
                  <c:v>0.1179</c:v>
                </c:pt>
                <c:pt idx="2">
                  <c:v>0.1293</c:v>
                </c:pt>
                <c:pt idx="3">
                  <c:v>0.1369</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44575"/>
          <c:y val="0.035"/>
          <c:w val="0.927925"/>
          <c:h val="0.882733333333333"/>
        </c:manualLayout>
      </c:layout>
      <c:barChart>
        <c:barDir val="col"/>
        <c:grouping val="clustered"/>
        <c:varyColors val="0"/>
        <c:ser>
          <c:idx val="0"/>
          <c:order val="0"/>
          <c:tx>
            <c:strRef>
              <c:f>Sheet1!$B$1</c:f>
              <c:strCache>
                <c:ptCount val="1"/>
                <c:pt idx="0">
                  <c:v>比例</c:v>
                </c:pt>
              </c:strCache>
            </c:strRef>
          </c:tx>
          <c:spPr>
            <a:solidFill>
              <a:srgbClr val="D03B5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婴儿米粉</c:v>
                </c:pt>
                <c:pt idx="1">
                  <c:v>磨牙饼干</c:v>
                </c:pt>
                <c:pt idx="2">
                  <c:v>米饼、泡芙等零食</c:v>
                </c:pt>
                <c:pt idx="3">
                  <c:v>婴儿调味品</c:v>
                </c:pt>
                <c:pt idx="4">
                  <c:v>果泥、蔬菜泥</c:v>
                </c:pt>
                <c:pt idx="5">
                  <c:v>主食类，如碎面，小饺子等</c:v>
                </c:pt>
              </c:strCache>
            </c:strRef>
          </c:cat>
          <c:val>
            <c:numRef>
              <c:f>Sheet1!$B$2:$B$7</c:f>
              <c:numCache>
                <c:formatCode>0.00%</c:formatCode>
                <c:ptCount val="6"/>
                <c:pt idx="0">
                  <c:v>0.3764</c:v>
                </c:pt>
                <c:pt idx="1">
                  <c:v>0.3004</c:v>
                </c:pt>
                <c:pt idx="2">
                  <c:v>0.4259</c:v>
                </c:pt>
                <c:pt idx="3">
                  <c:v>0.4525</c:v>
                </c:pt>
                <c:pt idx="4">
                  <c:v>0.308</c:v>
                </c:pt>
                <c:pt idx="5">
                  <c:v>0.2852</c:v>
                </c:pt>
              </c:numCache>
            </c:numRef>
          </c:val>
        </c:ser>
        <c:dLbls>
          <c:showLegendKey val="0"/>
          <c:showVal val="1"/>
          <c:showCatName val="0"/>
          <c:showSerName val="0"/>
          <c:showPercent val="0"/>
          <c:showBubbleSize val="0"/>
        </c:dLbls>
        <c:gapWidth val="219"/>
        <c:overlap val="-27"/>
        <c:axId val="143719695"/>
        <c:axId val="346959561"/>
      </c:barChart>
      <c:catAx>
        <c:axId val="14371969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6959561"/>
        <c:crosses val="autoZero"/>
        <c:auto val="1"/>
        <c:lblAlgn val="ctr"/>
        <c:lblOffset val="100"/>
        <c:noMultiLvlLbl val="0"/>
      </c:catAx>
      <c:valAx>
        <c:axId val="34695956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7196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86450584484591"/>
          <c:y val="0.0323105532310553"/>
          <c:w val="0.854729011689692"/>
          <c:h val="0.74416550441655"/>
        </c:manualLayout>
      </c:layout>
      <c:lineChart>
        <c:grouping val="standard"/>
        <c:varyColors val="0"/>
        <c:ser>
          <c:idx val="0"/>
          <c:order val="0"/>
          <c:tx>
            <c:strRef>
              <c:f>Sheet1!$B$1</c:f>
              <c:strCache>
                <c:ptCount val="1"/>
                <c:pt idx="0">
                  <c:v>愿意接受高于普通食品多高的价格来购买婴童食品</c:v>
                </c:pt>
              </c:strCache>
            </c:strRef>
          </c:tx>
          <c:spPr>
            <a:ln w="28575" cap="rnd">
              <a:solidFill>
                <a:srgbClr val="D2445B"/>
              </a:solidFill>
              <a:round/>
            </a:ln>
            <a:effectLst/>
          </c:spPr>
          <c:marker>
            <c:symbol val="none"/>
          </c:marker>
          <c:dLbls>
            <c:dLbl>
              <c:idx val="3"/>
              <c:layout>
                <c:manualLayout>
                  <c:x val="0.00398512221041445"/>
                  <c:y val="0.015377855887522"/>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
                  <c:y val="-0.030369961347321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[0 , 10)</c:v>
                </c:pt>
                <c:pt idx="1">
                  <c:v>[10 , 20)</c:v>
                </c:pt>
                <c:pt idx="2">
                  <c:v>[20 , 40)</c:v>
                </c:pt>
                <c:pt idx="3">
                  <c:v>[40 , 60)</c:v>
                </c:pt>
                <c:pt idx="4">
                  <c:v>60及以上</c:v>
                </c:pt>
              </c:strCache>
            </c:strRef>
          </c:cat>
          <c:val>
            <c:numRef>
              <c:f>Sheet1!$B$2:$B$6</c:f>
              <c:numCache>
                <c:formatCode>0.00%</c:formatCode>
                <c:ptCount val="5"/>
                <c:pt idx="0">
                  <c:v>0.0418</c:v>
                </c:pt>
                <c:pt idx="1">
                  <c:v>0.4715</c:v>
                </c:pt>
                <c:pt idx="2">
                  <c:v>0.3004</c:v>
                </c:pt>
                <c:pt idx="3">
                  <c:v>0.1255</c:v>
                </c:pt>
                <c:pt idx="4">
                  <c:v>0.0608</c:v>
                </c:pt>
              </c:numCache>
            </c:numRef>
          </c:val>
          <c:smooth val="0"/>
        </c:ser>
        <c:ser>
          <c:idx val="1"/>
          <c:order val="1"/>
          <c:tx>
            <c:strRef>
              <c:f>Sheet1!$C$1</c:f>
              <c:strCache>
                <c:ptCount val="1"/>
                <c:pt idx="0">
                  <c:v>愿意接受高于普通婴童食品多高的价格购买营养强化婴童食品</c:v>
                </c:pt>
              </c:strCache>
            </c:strRef>
          </c:tx>
          <c:spPr>
            <a:ln w="28575" cap="rnd">
              <a:solidFill>
                <a:srgbClr val="EE536B"/>
              </a:solidFill>
              <a:round/>
            </a:ln>
            <a:effectLst/>
          </c:spPr>
          <c:marker>
            <c:symbol val="none"/>
          </c:marker>
          <c:dLbls>
            <c:dLbl>
              <c:idx val="3"/>
              <c:layout>
                <c:manualLayout>
                  <c:x val="0.00673451003445762"/>
                  <c:y val="-0.0468165157468662"/>
                </c:manualLayout>
              </c:layout>
              <c:dLblPos val="t"/>
              <c:showLegendKey val="0"/>
              <c:showVal val="1"/>
              <c:showCatName val="0"/>
              <c:showSerName val="0"/>
              <c:showPercent val="0"/>
              <c:showBubbleSize val="0"/>
              <c:extLst>
                <c:ext xmlns:c15="http://schemas.microsoft.com/office/drawing/2012/chart" uri="{CE6537A1-D6FC-4f65-9D91-7224C49458BB}">
                  <c15:layout>
                    <c:manualLayout>
                      <c:w val="0.127044195161508"/>
                      <c:h val="0.071507454445058"/>
                    </c:manualLayout>
                  </c15:layout>
                </c:ext>
              </c:extLst>
            </c:dLbl>
            <c:dLbl>
              <c:idx val="4"/>
              <c:layout>
                <c:manualLayout>
                  <c:x val="-0.00398512221041445"/>
                  <c:y val="0.015377855887522"/>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[0 , 10)</c:v>
                </c:pt>
                <c:pt idx="1">
                  <c:v>[10 , 20)</c:v>
                </c:pt>
                <c:pt idx="2">
                  <c:v>[20 , 40)</c:v>
                </c:pt>
                <c:pt idx="3">
                  <c:v>[40 , 60)</c:v>
                </c:pt>
                <c:pt idx="4">
                  <c:v>60及以上</c:v>
                </c:pt>
              </c:strCache>
            </c:strRef>
          </c:cat>
          <c:val>
            <c:numRef>
              <c:f>Sheet1!$C$2:$C$6</c:f>
              <c:numCache>
                <c:formatCode>0.00%</c:formatCode>
                <c:ptCount val="5"/>
                <c:pt idx="0">
                  <c:v>0.0418</c:v>
                </c:pt>
                <c:pt idx="1">
                  <c:v>0.3688</c:v>
                </c:pt>
                <c:pt idx="2">
                  <c:v>0.4106</c:v>
                </c:pt>
                <c:pt idx="3">
                  <c:v>0.1331</c:v>
                </c:pt>
                <c:pt idx="4">
                  <c:v>0.0456</c:v>
                </c:pt>
              </c:numCache>
            </c:numRef>
          </c:val>
          <c:smooth val="0"/>
        </c:ser>
        <c:dLbls>
          <c:showLegendKey val="0"/>
          <c:showVal val="1"/>
          <c:showCatName val="0"/>
          <c:showSerName val="0"/>
          <c:showPercent val="0"/>
          <c:showBubbleSize val="0"/>
        </c:dLbls>
        <c:marker val="0"/>
        <c:smooth val="0"/>
        <c:axId val="801832217"/>
        <c:axId val="899544323"/>
      </c:lineChart>
      <c:catAx>
        <c:axId val="80183221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9544323"/>
        <c:crosses val="autoZero"/>
        <c:auto val="1"/>
        <c:lblAlgn val="ctr"/>
        <c:lblOffset val="100"/>
        <c:noMultiLvlLbl val="0"/>
      </c:catAx>
      <c:valAx>
        <c:axId val="89954432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1832217"/>
        <c:crosses val="autoZero"/>
        <c:crossBetween val="between"/>
      </c:valAx>
      <c:spPr>
        <a:noFill/>
        <a:ln>
          <a:noFill/>
        </a:ln>
        <a:effectLst/>
      </c:spPr>
    </c:plotArea>
    <c:legend>
      <c:legendPos val="b"/>
      <c:layout>
        <c:manualLayout>
          <c:xMode val="edge"/>
          <c:yMode val="edge"/>
          <c:x val="0.0958018374477079"/>
          <c:y val="0.881427031940203"/>
          <c:w val="0.813623462630085"/>
          <c:h val="0.091488921879991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6F5114-617F-496C-A852-167601FED5CD}">
  <ds:schemaRefs/>
</ds:datastoreItem>
</file>

<file path=docProps/app.xml><?xml version="1.0" encoding="utf-8"?>
<Properties xmlns="http://schemas.openxmlformats.org/officeDocument/2006/extended-properties" xmlns:vt="http://schemas.openxmlformats.org/officeDocument/2006/docPropsVTypes">
  <Template>Normal</Template>
  <Pages>60</Pages>
  <Words>22918</Words>
  <Characters>25304</Characters>
  <Lines>205</Lines>
  <Paragraphs>57</Paragraphs>
  <TotalTime>2</TotalTime>
  <ScaleCrop>false</ScaleCrop>
  <LinksUpToDate>false</LinksUpToDate>
  <CharactersWithSpaces>26166</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2022-08-31T12:52:00Z</dcterms:created>
  <dc:creator>发际线与我作队</dc:creator>
  <cp:lastModifiedBy>陈晨</cp:lastModifiedBy>
  <cp:lastPrinted>2022-08-31T12:56:00Z</cp:lastPrinted>
  <dcterms:modified xsi:type="dcterms:W3CDTF">2022-09-14T08:58:40Z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6C63FFF7A87141A5BC3541763314D815</vt:lpwstr>
  </property>
</Properties>
</file>