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7DB2" w14:textId="38CDA321" w:rsidR="005937F7" w:rsidRDefault="00537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MANUALE DI CODIFICA PER L’EDIZIONE DIGITALE DI 95V-96R DEL VAT. LAT. 3793</w:t>
      </w:r>
    </w:p>
    <w:p w14:paraId="43F7F75D" w14:textId="23E12D3F" w:rsidR="005371F5" w:rsidRDefault="005371F5" w:rsidP="005371F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</w:p>
    <w:p w14:paraId="67391ABD" w14:textId="77777777" w:rsidR="00C7326A" w:rsidRDefault="005371F5" w:rsidP="00757E69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Ponendosi il progetto l’obiettivo di fornire l’edizione digitale delle carte 95v-96r di un manoscritto quale il </w:t>
      </w:r>
      <w:proofErr w:type="spellStart"/>
      <w:r>
        <w:rPr>
          <w:rFonts w:ascii="Times New Roman" w:hAnsi="Times New Roman" w:cs="Times New Roman"/>
        </w:rPr>
        <w:t>vat.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- 3793 il </w:t>
      </w:r>
      <w:proofErr w:type="spellStart"/>
      <w:r>
        <w:rPr>
          <w:rFonts w:ascii="Times New Roman" w:hAnsi="Times New Roman" w:cs="Times New Roman"/>
        </w:rPr>
        <w:t>TeiHeader</w:t>
      </w:r>
      <w:proofErr w:type="spellEnd"/>
      <w:r>
        <w:rPr>
          <w:rFonts w:ascii="Times New Roman" w:hAnsi="Times New Roman" w:cs="Times New Roman"/>
        </w:rPr>
        <w:t xml:space="preserve"> del nostro documento contiene tutti gli elementi </w:t>
      </w:r>
      <w:r w:rsidR="0021362B">
        <w:rPr>
          <w:rFonts w:ascii="Times New Roman" w:hAnsi="Times New Roman" w:cs="Times New Roman"/>
        </w:rPr>
        <w:t xml:space="preserve">necessari per una presentazione completa della nostra </w:t>
      </w:r>
      <w:proofErr w:type="spellStart"/>
      <w:r w:rsidR="0021362B">
        <w:rPr>
          <w:rFonts w:ascii="Times New Roman" w:hAnsi="Times New Roman" w:cs="Times New Roman"/>
          <w:i/>
          <w:iCs/>
        </w:rPr>
        <w:t>primary</w:t>
      </w:r>
      <w:proofErr w:type="spellEnd"/>
      <w:r w:rsidR="0021362B">
        <w:rPr>
          <w:rFonts w:ascii="Times New Roman" w:hAnsi="Times New Roman" w:cs="Times New Roman"/>
          <w:i/>
          <w:iCs/>
        </w:rPr>
        <w:t xml:space="preserve"> source </w:t>
      </w:r>
      <w:r w:rsidR="0021362B">
        <w:rPr>
          <w:rFonts w:ascii="Times New Roman" w:hAnsi="Times New Roman" w:cs="Times New Roman"/>
        </w:rPr>
        <w:t xml:space="preserve">(il </w:t>
      </w:r>
      <w:proofErr w:type="spellStart"/>
      <w:r w:rsidR="0021362B">
        <w:rPr>
          <w:rFonts w:ascii="Times New Roman" w:hAnsi="Times New Roman" w:cs="Times New Roman"/>
        </w:rPr>
        <w:t>vat.</w:t>
      </w:r>
      <w:proofErr w:type="spellEnd"/>
      <w:r w:rsidR="0021362B">
        <w:rPr>
          <w:rFonts w:ascii="Times New Roman" w:hAnsi="Times New Roman" w:cs="Times New Roman"/>
        </w:rPr>
        <w:t xml:space="preserve"> </w:t>
      </w:r>
      <w:proofErr w:type="spellStart"/>
      <w:r w:rsidR="0021362B">
        <w:rPr>
          <w:rFonts w:ascii="Times New Roman" w:hAnsi="Times New Roman" w:cs="Times New Roman"/>
        </w:rPr>
        <w:t>lat</w:t>
      </w:r>
      <w:proofErr w:type="spellEnd"/>
      <w:r w:rsidR="0021362B">
        <w:rPr>
          <w:rFonts w:ascii="Times New Roman" w:hAnsi="Times New Roman" w:cs="Times New Roman"/>
        </w:rPr>
        <w:t xml:space="preserve">. 3793, e specificamente le due pagine oggetto dell’edizione), oltre, ovviamente, agli elementi obbligatori in qualunque </w:t>
      </w:r>
      <w:proofErr w:type="spellStart"/>
      <w:r w:rsidR="0021362B">
        <w:rPr>
          <w:rFonts w:ascii="Times New Roman" w:hAnsi="Times New Roman" w:cs="Times New Roman"/>
        </w:rPr>
        <w:t>TeiHeader</w:t>
      </w:r>
      <w:proofErr w:type="spellEnd"/>
      <w:r w:rsidR="0021362B">
        <w:rPr>
          <w:rFonts w:ascii="Times New Roman" w:hAnsi="Times New Roman" w:cs="Times New Roman"/>
        </w:rPr>
        <w:t>.</w:t>
      </w:r>
    </w:p>
    <w:p w14:paraId="109187EE" w14:textId="7DB6A309" w:rsidR="005371F5" w:rsidRDefault="00C7326A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parte più consistente dell’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 xml:space="preserve"> è perciò costituita dalla descrizione della fonte manoscritta, indentata in &lt;</w:t>
      </w:r>
      <w:proofErr w:type="spellStart"/>
      <w:r>
        <w:rPr>
          <w:rFonts w:ascii="Times New Roman" w:hAnsi="Times New Roman" w:cs="Times New Roman"/>
        </w:rPr>
        <w:t>msDesc</w:t>
      </w:r>
      <w:proofErr w:type="spellEnd"/>
      <w:r>
        <w:rPr>
          <w:rFonts w:ascii="Times New Roman" w:hAnsi="Times New Roman" w:cs="Times New Roman"/>
        </w:rPr>
        <w:t>&gt; all’interno della &lt;</w:t>
      </w:r>
      <w:proofErr w:type="spellStart"/>
      <w:r>
        <w:rPr>
          <w:rFonts w:ascii="Times New Roman" w:hAnsi="Times New Roman" w:cs="Times New Roman"/>
        </w:rPr>
        <w:t>sourceDesc</w:t>
      </w:r>
      <w:proofErr w:type="spellEnd"/>
      <w:r>
        <w:rPr>
          <w:rFonts w:ascii="Times New Roman" w:hAnsi="Times New Roman" w:cs="Times New Roman"/>
        </w:rPr>
        <w:t xml:space="preserve">&gt;. Qui si identifica il manoscritto </w:t>
      </w:r>
      <w:r w:rsidR="001B23C5">
        <w:rPr>
          <w:rFonts w:ascii="Times New Roman" w:hAnsi="Times New Roman" w:cs="Times New Roman"/>
        </w:rPr>
        <w:t>fornendo</w:t>
      </w:r>
      <w:r>
        <w:rPr>
          <w:rFonts w:ascii="Times New Roman" w:hAnsi="Times New Roman" w:cs="Times New Roman"/>
        </w:rPr>
        <w:t xml:space="preserve"> tutte le informazioni di luogo, istituzione e </w:t>
      </w:r>
      <w:r w:rsidR="001B23C5">
        <w:rPr>
          <w:rFonts w:ascii="Times New Roman" w:hAnsi="Times New Roman" w:cs="Times New Roman"/>
        </w:rPr>
        <w:t>segnatura</w:t>
      </w:r>
      <w:r>
        <w:rPr>
          <w:rFonts w:ascii="Times New Roman" w:hAnsi="Times New Roman" w:cs="Times New Roman"/>
        </w:rPr>
        <w:t xml:space="preserve"> </w:t>
      </w:r>
      <w:r w:rsidR="001B23C5">
        <w:rPr>
          <w:rFonts w:ascii="Times New Roman" w:hAnsi="Times New Roman" w:cs="Times New Roman"/>
        </w:rPr>
        <w:t>dentro &lt;</w:t>
      </w:r>
      <w:proofErr w:type="spellStart"/>
      <w:r w:rsidR="001B23C5">
        <w:rPr>
          <w:rFonts w:ascii="Times New Roman" w:hAnsi="Times New Roman" w:cs="Times New Roman"/>
        </w:rPr>
        <w:t>msIdentifier</w:t>
      </w:r>
      <w:proofErr w:type="spellEnd"/>
      <w:r w:rsidR="001B23C5">
        <w:rPr>
          <w:rFonts w:ascii="Times New Roman" w:hAnsi="Times New Roman" w:cs="Times New Roman"/>
        </w:rPr>
        <w:t>&gt;. Si dà conto dei contenuti della nostra fonte in &lt;</w:t>
      </w:r>
      <w:proofErr w:type="spellStart"/>
      <w:r w:rsidR="001B23C5">
        <w:rPr>
          <w:rFonts w:ascii="Times New Roman" w:hAnsi="Times New Roman" w:cs="Times New Roman"/>
        </w:rPr>
        <w:t>msContents</w:t>
      </w:r>
      <w:proofErr w:type="spellEnd"/>
      <w:r w:rsidR="001B23C5">
        <w:rPr>
          <w:rFonts w:ascii="Times New Roman" w:hAnsi="Times New Roman" w:cs="Times New Roman"/>
        </w:rPr>
        <w:t>&gt;, fornendo una generale informazione di questi entro tutto il manoscritto (in &lt;</w:t>
      </w:r>
      <w:proofErr w:type="spellStart"/>
      <w:r w:rsidR="001B23C5">
        <w:rPr>
          <w:rFonts w:ascii="Times New Roman" w:hAnsi="Times New Roman" w:cs="Times New Roman"/>
        </w:rPr>
        <w:t>summary</w:t>
      </w:r>
      <w:proofErr w:type="spellEnd"/>
      <w:r w:rsidR="001B23C5">
        <w:rPr>
          <w:rFonts w:ascii="Times New Roman" w:hAnsi="Times New Roman" w:cs="Times New Roman"/>
        </w:rPr>
        <w:t xml:space="preserve">&gt;) e guardando poi specificatamente alle pagine della nostra edizione, i cui contenuti sono discretamente indicati attraverso </w:t>
      </w:r>
      <w:r w:rsidR="00D363C3">
        <w:rPr>
          <w:rFonts w:ascii="Times New Roman" w:hAnsi="Times New Roman" w:cs="Times New Roman"/>
        </w:rPr>
        <w:t>un elemento</w:t>
      </w:r>
      <w:r w:rsidR="001B23C5">
        <w:rPr>
          <w:rFonts w:ascii="Times New Roman" w:hAnsi="Times New Roman" w:cs="Times New Roman"/>
        </w:rPr>
        <w:t xml:space="preserve"> &lt;</w:t>
      </w:r>
      <w:proofErr w:type="spellStart"/>
      <w:r w:rsidR="001B23C5">
        <w:rPr>
          <w:rFonts w:ascii="Times New Roman" w:hAnsi="Times New Roman" w:cs="Times New Roman"/>
        </w:rPr>
        <w:t>msItem</w:t>
      </w:r>
      <w:proofErr w:type="spellEnd"/>
      <w:r w:rsidR="001B23C5">
        <w:rPr>
          <w:rFonts w:ascii="Times New Roman" w:hAnsi="Times New Roman" w:cs="Times New Roman"/>
        </w:rPr>
        <w:t>&gt;</w:t>
      </w:r>
      <w:r w:rsidR="00D363C3">
        <w:rPr>
          <w:rFonts w:ascii="Times New Roman" w:hAnsi="Times New Roman" w:cs="Times New Roman"/>
        </w:rPr>
        <w:t xml:space="preserve"> per ciascuna rima (3 in tutto) delle due pagine del manoscritto; raccolti tutti in </w:t>
      </w:r>
      <w:r w:rsidR="00363CAE">
        <w:rPr>
          <w:rFonts w:ascii="Times New Roman" w:hAnsi="Times New Roman" w:cs="Times New Roman"/>
        </w:rPr>
        <w:t xml:space="preserve">un </w:t>
      </w:r>
      <w:r w:rsidR="00D363C3">
        <w:rPr>
          <w:rFonts w:ascii="Times New Roman" w:hAnsi="Times New Roman" w:cs="Times New Roman"/>
        </w:rPr>
        <w:t>&lt;</w:t>
      </w:r>
      <w:proofErr w:type="spellStart"/>
      <w:r w:rsidR="00D363C3">
        <w:rPr>
          <w:rFonts w:ascii="Times New Roman" w:hAnsi="Times New Roman" w:cs="Times New Roman"/>
        </w:rPr>
        <w:t>mItem</w:t>
      </w:r>
      <w:proofErr w:type="spellEnd"/>
      <w:r w:rsidR="00D363C3">
        <w:rPr>
          <w:rFonts w:ascii="Times New Roman" w:hAnsi="Times New Roman" w:cs="Times New Roman"/>
        </w:rPr>
        <w:t>&gt; ulteriore che indica genericamente i contenuti delle due pagine.</w:t>
      </w:r>
    </w:p>
    <w:p w14:paraId="517F5888" w14:textId="5B8D58BC" w:rsidR="00D363C3" w:rsidRDefault="00D363C3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 la descrizione fisica della fonte, </w:t>
      </w:r>
      <w:r w:rsidR="00782FA9">
        <w:rPr>
          <w:rFonts w:ascii="Times New Roman" w:hAnsi="Times New Roman" w:cs="Times New Roman"/>
        </w:rPr>
        <w:t>condotta con una riserva particolare – anche qui – per le due pagine che ci interessano nello specifico. Per questo motivo nella &lt;</w:t>
      </w:r>
      <w:proofErr w:type="spellStart"/>
      <w:r w:rsidR="00782FA9">
        <w:rPr>
          <w:rFonts w:ascii="Times New Roman" w:hAnsi="Times New Roman" w:cs="Times New Roman"/>
        </w:rPr>
        <w:t>layoutDesc</w:t>
      </w:r>
      <w:proofErr w:type="spellEnd"/>
      <w:r w:rsidR="00782FA9">
        <w:rPr>
          <w:rFonts w:ascii="Times New Roman" w:hAnsi="Times New Roman" w:cs="Times New Roman"/>
        </w:rPr>
        <w:t>&gt;, nell’&lt;</w:t>
      </w:r>
      <w:proofErr w:type="spellStart"/>
      <w:r w:rsidR="00782FA9">
        <w:rPr>
          <w:rFonts w:ascii="Times New Roman" w:hAnsi="Times New Roman" w:cs="Times New Roman"/>
        </w:rPr>
        <w:t>handDesc</w:t>
      </w:r>
      <w:proofErr w:type="spellEnd"/>
      <w:r w:rsidR="00782FA9">
        <w:rPr>
          <w:rFonts w:ascii="Times New Roman" w:hAnsi="Times New Roman" w:cs="Times New Roman"/>
        </w:rPr>
        <w:t>&gt;, nella &lt;</w:t>
      </w:r>
      <w:proofErr w:type="spellStart"/>
      <w:r w:rsidR="00782FA9">
        <w:rPr>
          <w:rFonts w:ascii="Times New Roman" w:hAnsi="Times New Roman" w:cs="Times New Roman"/>
        </w:rPr>
        <w:t>decoDesc</w:t>
      </w:r>
      <w:proofErr w:type="spellEnd"/>
      <w:r w:rsidR="00782FA9">
        <w:rPr>
          <w:rFonts w:ascii="Times New Roman" w:hAnsi="Times New Roman" w:cs="Times New Roman"/>
        </w:rPr>
        <w:t>&gt; e infine nelle &lt;</w:t>
      </w:r>
      <w:proofErr w:type="spellStart"/>
      <w:r w:rsidR="00782FA9">
        <w:rPr>
          <w:rFonts w:ascii="Times New Roman" w:hAnsi="Times New Roman" w:cs="Times New Roman"/>
        </w:rPr>
        <w:t>additions</w:t>
      </w:r>
      <w:proofErr w:type="spellEnd"/>
      <w:r w:rsidR="00782FA9">
        <w:rPr>
          <w:rFonts w:ascii="Times New Roman" w:hAnsi="Times New Roman" w:cs="Times New Roman"/>
        </w:rPr>
        <w:t xml:space="preserve">&gt; si inserisce sempre una sezione riservata alla descrizione di quegli specifici aspetti fisici nelle carte 95v-96r, sempre rintracciabili perché indentate all’interno </w:t>
      </w:r>
      <w:r w:rsidR="00363CAE">
        <w:rPr>
          <w:rFonts w:ascii="Times New Roman" w:hAnsi="Times New Roman" w:cs="Times New Roman"/>
        </w:rPr>
        <w:t xml:space="preserve">di un </w:t>
      </w:r>
      <w:r w:rsidR="00782FA9">
        <w:rPr>
          <w:rFonts w:ascii="Times New Roman" w:hAnsi="Times New Roman" w:cs="Times New Roman"/>
        </w:rPr>
        <w:t>&lt;</w:t>
      </w:r>
      <w:proofErr w:type="spellStart"/>
      <w:r w:rsidR="00782FA9">
        <w:rPr>
          <w:rFonts w:ascii="Times New Roman" w:hAnsi="Times New Roman" w:cs="Times New Roman"/>
        </w:rPr>
        <w:t>rs</w:t>
      </w:r>
      <w:proofErr w:type="spellEnd"/>
      <w:r w:rsidR="00782FA9">
        <w:rPr>
          <w:rFonts w:ascii="Times New Roman" w:hAnsi="Times New Roman" w:cs="Times New Roman"/>
        </w:rPr>
        <w:t xml:space="preserve">&gt; che rinvia, attraverso </w:t>
      </w:r>
      <w:r w:rsidR="00980480">
        <w:rPr>
          <w:rFonts w:ascii="Times New Roman" w:hAnsi="Times New Roman" w:cs="Times New Roman"/>
        </w:rPr>
        <w:t>@ref, all’</w:t>
      </w:r>
      <w:proofErr w:type="spellStart"/>
      <w:r w:rsidR="00980480">
        <w:rPr>
          <w:rFonts w:ascii="Times New Roman" w:hAnsi="Times New Roman" w:cs="Times New Roman"/>
        </w:rPr>
        <w:t>xml:id</w:t>
      </w:r>
      <w:proofErr w:type="spellEnd"/>
      <w:r w:rsidR="00980480">
        <w:rPr>
          <w:rFonts w:ascii="Times New Roman" w:hAnsi="Times New Roman" w:cs="Times New Roman"/>
        </w:rPr>
        <w:t xml:space="preserve"> che identificava, in altre sezioni dell’</w:t>
      </w:r>
      <w:proofErr w:type="spellStart"/>
      <w:r w:rsidR="00980480">
        <w:rPr>
          <w:rFonts w:ascii="Times New Roman" w:hAnsi="Times New Roman" w:cs="Times New Roman"/>
        </w:rPr>
        <w:t>Header</w:t>
      </w:r>
      <w:proofErr w:type="spellEnd"/>
      <w:r w:rsidR="00980480">
        <w:rPr>
          <w:rFonts w:ascii="Times New Roman" w:hAnsi="Times New Roman" w:cs="Times New Roman"/>
        </w:rPr>
        <w:t>, quelle pagine. Si aggiunge una breve &lt;history&gt; e nelle &lt;</w:t>
      </w:r>
      <w:proofErr w:type="spellStart"/>
      <w:r w:rsidR="00980480">
        <w:rPr>
          <w:rFonts w:ascii="Times New Roman" w:hAnsi="Times New Roman" w:cs="Times New Roman"/>
        </w:rPr>
        <w:t>additional</w:t>
      </w:r>
      <w:proofErr w:type="spellEnd"/>
      <w:r w:rsidR="00980480">
        <w:rPr>
          <w:rFonts w:ascii="Times New Roman" w:hAnsi="Times New Roman" w:cs="Times New Roman"/>
        </w:rPr>
        <w:t xml:space="preserve">&gt; si </w:t>
      </w:r>
      <w:r w:rsidR="00FC7DC4">
        <w:rPr>
          <w:rFonts w:ascii="Times New Roman" w:hAnsi="Times New Roman" w:cs="Times New Roman"/>
        </w:rPr>
        <w:t>elenca la bibliografia di riferimento riguardo al manoscritto e ad una sua presentazione.</w:t>
      </w:r>
    </w:p>
    <w:p w14:paraId="5804F9A4" w14:textId="77777777" w:rsidR="00CD24CB" w:rsidRDefault="00CD24CB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</w:p>
    <w:p w14:paraId="1003550C" w14:textId="7D26A773" w:rsidR="00FC7DC4" w:rsidRDefault="00FC7DC4" w:rsidP="00757E6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Facsimile</w:t>
      </w:r>
    </w:p>
    <w:p w14:paraId="4EF2DEF6" w14:textId="14F9FA2A" w:rsidR="00FC7DC4" w:rsidRDefault="00B6559B" w:rsidP="00757E69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sezione &lt;facsimile&gt; ci consente di inserire nel documento i riferimenti alle immagini delle carte, e la definizione delle zone specifiche delle carte occupate dalle 3 rime che si sono trascritte. In un elemento &lt;</w:t>
      </w:r>
      <w:proofErr w:type="spellStart"/>
      <w:r>
        <w:rPr>
          <w:rFonts w:ascii="Times New Roman" w:hAnsi="Times New Roman" w:cs="Times New Roman"/>
        </w:rPr>
        <w:t>surfaceGrp</w:t>
      </w:r>
      <w:proofErr w:type="spellEnd"/>
      <w:r>
        <w:rPr>
          <w:rFonts w:ascii="Times New Roman" w:hAnsi="Times New Roman" w:cs="Times New Roman"/>
        </w:rPr>
        <w:t>&gt;</w:t>
      </w:r>
      <w:r w:rsidR="002A6693">
        <w:rPr>
          <w:rFonts w:ascii="Times New Roman" w:hAnsi="Times New Roman" w:cs="Times New Roman"/>
        </w:rPr>
        <w:t xml:space="preserve"> sono stati indentati due elementi &lt;</w:t>
      </w:r>
      <w:proofErr w:type="spellStart"/>
      <w:r w:rsidR="002A6693">
        <w:rPr>
          <w:rFonts w:ascii="Times New Roman" w:hAnsi="Times New Roman" w:cs="Times New Roman"/>
        </w:rPr>
        <w:t>surface</w:t>
      </w:r>
      <w:proofErr w:type="spellEnd"/>
      <w:r w:rsidR="002A6693">
        <w:rPr>
          <w:rFonts w:ascii="Times New Roman" w:hAnsi="Times New Roman" w:cs="Times New Roman"/>
        </w:rPr>
        <w:t>&gt;, corrispondenti alle due carte ed in collegamento con le loro immagini attraverso l’elemento &lt;graphic&gt;. All’interno di ciascuna &lt;</w:t>
      </w:r>
      <w:proofErr w:type="spellStart"/>
      <w:r w:rsidR="002A6693">
        <w:rPr>
          <w:rFonts w:ascii="Times New Roman" w:hAnsi="Times New Roman" w:cs="Times New Roman"/>
        </w:rPr>
        <w:t>surface</w:t>
      </w:r>
      <w:proofErr w:type="spellEnd"/>
      <w:r w:rsidR="002A6693">
        <w:rPr>
          <w:rFonts w:ascii="Times New Roman" w:hAnsi="Times New Roman" w:cs="Times New Roman"/>
        </w:rPr>
        <w:t xml:space="preserve">&gt; sono state identificate e definite le diverse &lt;zone&gt; corrispondenti agli spazi occupati dalle singole rime nelle carte; anch’esse </w:t>
      </w:r>
      <w:r w:rsidR="00E641A6">
        <w:rPr>
          <w:rFonts w:ascii="Times New Roman" w:hAnsi="Times New Roman" w:cs="Times New Roman"/>
        </w:rPr>
        <w:t>legate da &lt;graphic&gt; alle immagini.</w:t>
      </w:r>
    </w:p>
    <w:p w14:paraId="54FEE4E3" w14:textId="77777777" w:rsidR="00CD24CB" w:rsidRDefault="00CD24CB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</w:p>
    <w:p w14:paraId="697A1898" w14:textId="5D28BF39" w:rsidR="00E641A6" w:rsidRDefault="00E641A6" w:rsidP="00757E6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3CBE52EC" w14:textId="3B1044E4" w:rsidR="001C312F" w:rsidRPr="007854F2" w:rsidRDefault="00BB295B" w:rsidP="00757E69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All’interno di &lt;text&gt; si innestano due ulteriori elementi &lt;text&gt;: </w:t>
      </w:r>
      <w:r w:rsidR="007854F2">
        <w:rPr>
          <w:rFonts w:ascii="Times New Roman" w:hAnsi="Times New Roman" w:cs="Times New Roman"/>
        </w:rPr>
        <w:t>il primo dedicato</w:t>
      </w:r>
      <w:r>
        <w:rPr>
          <w:rFonts w:ascii="Times New Roman" w:hAnsi="Times New Roman" w:cs="Times New Roman"/>
        </w:rPr>
        <w:t xml:space="preserve"> alla trascrizione diplomatica della scrittura del manoscritto alle carte 95v-96r; </w:t>
      </w:r>
      <w:r w:rsidR="007854F2">
        <w:rPr>
          <w:rFonts w:ascii="Times New Roman" w:hAnsi="Times New Roman" w:cs="Times New Roman"/>
        </w:rPr>
        <w:t xml:space="preserve">nel secondo si inserisce l’edizione di una delle rime della trascrizione, </w:t>
      </w:r>
      <w:r w:rsidR="007854F2">
        <w:rPr>
          <w:rFonts w:ascii="Times New Roman" w:hAnsi="Times New Roman" w:cs="Times New Roman"/>
          <w:i/>
          <w:iCs/>
        </w:rPr>
        <w:t xml:space="preserve">Donna senza pietanza </w:t>
      </w:r>
      <w:r w:rsidR="007854F2">
        <w:rPr>
          <w:rFonts w:ascii="Times New Roman" w:hAnsi="Times New Roman" w:cs="Times New Roman"/>
        </w:rPr>
        <w:t xml:space="preserve">di </w:t>
      </w:r>
      <w:proofErr w:type="spellStart"/>
      <w:r w:rsidR="007854F2">
        <w:rPr>
          <w:rFonts w:ascii="Times New Roman" w:hAnsi="Times New Roman" w:cs="Times New Roman"/>
        </w:rPr>
        <w:t>Lapuccio</w:t>
      </w:r>
      <w:proofErr w:type="spellEnd"/>
      <w:r w:rsidR="007854F2">
        <w:rPr>
          <w:rFonts w:ascii="Times New Roman" w:hAnsi="Times New Roman" w:cs="Times New Roman"/>
        </w:rPr>
        <w:t xml:space="preserve"> </w:t>
      </w:r>
      <w:proofErr w:type="spellStart"/>
      <w:r w:rsidR="007854F2">
        <w:rPr>
          <w:rFonts w:ascii="Times New Roman" w:hAnsi="Times New Roman" w:cs="Times New Roman"/>
        </w:rPr>
        <w:t>Belfradelli</w:t>
      </w:r>
      <w:proofErr w:type="spellEnd"/>
      <w:r w:rsidR="007854F2">
        <w:rPr>
          <w:rFonts w:ascii="Times New Roman" w:hAnsi="Times New Roman" w:cs="Times New Roman"/>
        </w:rPr>
        <w:t xml:space="preserve">, che è stata da noi prodotta nell’ambito del lavoro di tesi triennale, e che si è scelto di integrare </w:t>
      </w:r>
      <w:r w:rsidR="00BE6549">
        <w:rPr>
          <w:rFonts w:ascii="Times New Roman" w:hAnsi="Times New Roman" w:cs="Times New Roman"/>
        </w:rPr>
        <w:t>in questo progetto anche per motivare la scelta esatta di queste carte per l’edizione digitale.</w:t>
      </w:r>
    </w:p>
    <w:p w14:paraId="7F3CDFD2" w14:textId="015D1B93" w:rsidR="00E641A6" w:rsidRDefault="00BE6549" w:rsidP="00757E69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primo elemento</w:t>
      </w:r>
      <w:r w:rsidR="004932A2">
        <w:rPr>
          <w:rFonts w:ascii="Times New Roman" w:hAnsi="Times New Roman" w:cs="Times New Roman"/>
        </w:rPr>
        <w:t xml:space="preserve"> &lt;text&gt;</w:t>
      </w:r>
      <w:r>
        <w:rPr>
          <w:rFonts w:ascii="Times New Roman" w:hAnsi="Times New Roman" w:cs="Times New Roman"/>
        </w:rPr>
        <w:t>,</w:t>
      </w:r>
      <w:r w:rsidRPr="00BE65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 </w:t>
      </w:r>
      <w:r w:rsidRPr="00BE6549">
        <w:rPr>
          <w:rFonts w:ascii="Times New Roman" w:hAnsi="Times New Roman" w:cs="Times New Roman"/>
        </w:rPr>
        <w:t>la trascrizione diplomatica della scrittura del manoscritto alle carte 95v-96r</w:t>
      </w:r>
      <w:r>
        <w:rPr>
          <w:rFonts w:ascii="Times New Roman" w:hAnsi="Times New Roman" w:cs="Times New Roman"/>
        </w:rPr>
        <w:t>,</w:t>
      </w:r>
      <w:r w:rsidR="004932A2">
        <w:rPr>
          <w:rFonts w:ascii="Times New Roman" w:hAnsi="Times New Roman" w:cs="Times New Roman"/>
        </w:rPr>
        <w:t xml:space="preserve"> è diviso in quattro &lt;div&gt; </w:t>
      </w:r>
      <w:r w:rsidR="004151F2">
        <w:rPr>
          <w:rFonts w:ascii="Times New Roman" w:hAnsi="Times New Roman" w:cs="Times New Roman"/>
        </w:rPr>
        <w:t>corrispondenti ai diversi “blocchi di scrittura” nelle due carte, considerando separatamente carta 95v e 96r (segnalate dall’elemento &lt;</w:t>
      </w:r>
      <w:proofErr w:type="spellStart"/>
      <w:r w:rsidR="004151F2">
        <w:rPr>
          <w:rFonts w:ascii="Times New Roman" w:hAnsi="Times New Roman" w:cs="Times New Roman"/>
        </w:rPr>
        <w:t>pb</w:t>
      </w:r>
      <w:proofErr w:type="spellEnd"/>
      <w:r w:rsidR="004151F2">
        <w:rPr>
          <w:rFonts w:ascii="Times New Roman" w:hAnsi="Times New Roman" w:cs="Times New Roman"/>
        </w:rPr>
        <w:t xml:space="preserve">&gt; con @facs per </w:t>
      </w:r>
      <w:r w:rsidR="00426F54">
        <w:rPr>
          <w:rFonts w:ascii="Times New Roman" w:hAnsi="Times New Roman" w:cs="Times New Roman"/>
        </w:rPr>
        <w:t>il rimando alle immagini in &lt;facsimile&gt;</w:t>
      </w:r>
      <w:r w:rsidR="004151F2">
        <w:rPr>
          <w:rFonts w:ascii="Times New Roman" w:hAnsi="Times New Roman" w:cs="Times New Roman"/>
        </w:rPr>
        <w:t>).</w:t>
      </w:r>
      <w:r w:rsidR="00426F54">
        <w:rPr>
          <w:rFonts w:ascii="Times New Roman" w:hAnsi="Times New Roman" w:cs="Times New Roman"/>
        </w:rPr>
        <w:t xml:space="preserve"> Ad ogni &lt;div&gt; è associato, anche qui, l’attributo @facs per un rimando alle immagini delle precise &lt;zone&gt;; e insieme un @xml:id, che presenta “il contenuto della trascrizione” (ossia la rima o sezione di rima trascritta) e permette insieme un collegamento biunivoco con la sezione &lt;facsimile&gt;, </w:t>
      </w:r>
      <w:r w:rsidR="005A4097">
        <w:rPr>
          <w:rFonts w:ascii="Times New Roman" w:hAnsi="Times New Roman" w:cs="Times New Roman"/>
        </w:rPr>
        <w:t>la quale</w:t>
      </w:r>
      <w:r w:rsidR="00426F54">
        <w:rPr>
          <w:rFonts w:ascii="Times New Roman" w:hAnsi="Times New Roman" w:cs="Times New Roman"/>
        </w:rPr>
        <w:t xml:space="preserve"> rimanda alla trascrizione del testo in &lt;text&gt; con </w:t>
      </w:r>
      <w:r w:rsidR="005A4097">
        <w:rPr>
          <w:rFonts w:ascii="Times New Roman" w:hAnsi="Times New Roman" w:cs="Times New Roman"/>
        </w:rPr>
        <w:t xml:space="preserve">l’attributo </w:t>
      </w:r>
      <w:r w:rsidR="00426F54">
        <w:rPr>
          <w:rFonts w:ascii="Times New Roman" w:hAnsi="Times New Roman" w:cs="Times New Roman"/>
        </w:rPr>
        <w:t>@</w:t>
      </w:r>
      <w:r w:rsidR="005A4097">
        <w:rPr>
          <w:rFonts w:ascii="Times New Roman" w:hAnsi="Times New Roman" w:cs="Times New Roman"/>
        </w:rPr>
        <w:t>start</w:t>
      </w:r>
      <w:r w:rsidR="00426F54">
        <w:rPr>
          <w:rFonts w:ascii="Times New Roman" w:hAnsi="Times New Roman" w:cs="Times New Roman"/>
        </w:rPr>
        <w:t xml:space="preserve"> </w:t>
      </w:r>
      <w:r w:rsidR="005A4097">
        <w:rPr>
          <w:rFonts w:ascii="Times New Roman" w:hAnsi="Times New Roman" w:cs="Times New Roman"/>
        </w:rPr>
        <w:t>n</w:t>
      </w:r>
      <w:r w:rsidR="00FE1CCE">
        <w:rPr>
          <w:rFonts w:ascii="Times New Roman" w:hAnsi="Times New Roman" w:cs="Times New Roman"/>
        </w:rPr>
        <w:t xml:space="preserve">elle &lt;zone&gt;. </w:t>
      </w:r>
    </w:p>
    <w:p w14:paraId="34C60051" w14:textId="42C89763" w:rsidR="00FE1CCE" w:rsidRDefault="00FE1CCE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Ogni &lt;div&gt; si suddivide ulteriormente in &lt;p&gt;, che oltre ad essere blocchi di scrittura graficamente separati, sono “semanticamente” </w:t>
      </w:r>
      <w:r w:rsidR="00B26024">
        <w:rPr>
          <w:rFonts w:ascii="Times New Roman" w:hAnsi="Times New Roman" w:cs="Times New Roman"/>
        </w:rPr>
        <w:t>distinti</w:t>
      </w:r>
      <w:r>
        <w:rPr>
          <w:rFonts w:ascii="Times New Roman" w:hAnsi="Times New Roman" w:cs="Times New Roman"/>
        </w:rPr>
        <w:t xml:space="preserve"> in quanto strofe diverse. Per questa </w:t>
      </w:r>
      <w:r w:rsidR="00325BEA">
        <w:rPr>
          <w:rFonts w:ascii="Times New Roman" w:hAnsi="Times New Roman" w:cs="Times New Roman"/>
        </w:rPr>
        <w:t>semantica</w:t>
      </w:r>
      <w:r>
        <w:rPr>
          <w:rFonts w:ascii="Times New Roman" w:hAnsi="Times New Roman" w:cs="Times New Roman"/>
        </w:rPr>
        <w:t xml:space="preserve"> </w:t>
      </w:r>
      <w:r w:rsidR="00B26024">
        <w:rPr>
          <w:rFonts w:ascii="Times New Roman" w:hAnsi="Times New Roman" w:cs="Times New Roman"/>
        </w:rPr>
        <w:t xml:space="preserve">aggiuntiva </w:t>
      </w:r>
      <w:r w:rsidR="00325BEA">
        <w:rPr>
          <w:rFonts w:ascii="Times New Roman" w:hAnsi="Times New Roman" w:cs="Times New Roman"/>
        </w:rPr>
        <w:t xml:space="preserve">di </w:t>
      </w:r>
      <w:r>
        <w:rPr>
          <w:rFonts w:ascii="Times New Roman" w:hAnsi="Times New Roman" w:cs="Times New Roman"/>
        </w:rPr>
        <w:t>&lt;p&gt; come “strofa”</w:t>
      </w:r>
      <w:r w:rsidR="00325BEA">
        <w:rPr>
          <w:rFonts w:ascii="Times New Roman" w:hAnsi="Times New Roman" w:cs="Times New Roman"/>
        </w:rPr>
        <w:t xml:space="preserve"> (o meglio, questa sua corrispondenza) si è scelto di rinunciare al suo uso per </w:t>
      </w:r>
      <w:r w:rsidR="00F31C6F">
        <w:rPr>
          <w:rFonts w:ascii="Times New Roman" w:hAnsi="Times New Roman" w:cs="Times New Roman"/>
        </w:rPr>
        <w:t xml:space="preserve">isolare quell’ultimo blocco di scrittura che chiude carta 95v e il primissimo che apre carta 96r; perché costituiscono “logicamente” e “semanticamente” il corpo unico di </w:t>
      </w:r>
      <w:r w:rsidR="00F31C6F">
        <w:rPr>
          <w:rFonts w:ascii="Times New Roman" w:hAnsi="Times New Roman" w:cs="Times New Roman"/>
          <w:i/>
          <w:iCs/>
        </w:rPr>
        <w:t xml:space="preserve">una strofa. </w:t>
      </w:r>
      <w:r w:rsidR="00D977AF">
        <w:rPr>
          <w:rFonts w:ascii="Times New Roman" w:hAnsi="Times New Roman" w:cs="Times New Roman"/>
        </w:rPr>
        <w:t xml:space="preserve">Così per questo caso specifico si sostituisce all’elemento </w:t>
      </w:r>
      <w:r w:rsidR="00D977AF">
        <w:rPr>
          <w:rFonts w:ascii="Times New Roman" w:hAnsi="Times New Roman" w:cs="Times New Roman"/>
        </w:rPr>
        <w:lastRenderedPageBreak/>
        <w:t xml:space="preserve">separatore &lt;p&gt; quello di &lt;ab&gt;, che non reca un portato semantico; quest’ultimo viene invece affidato allo strumento della &lt;milestone&gt;, che con la specificazione @type = “strofa” </w:t>
      </w:r>
      <w:r w:rsidR="00B26024">
        <w:rPr>
          <w:rFonts w:ascii="Times New Roman" w:hAnsi="Times New Roman" w:cs="Times New Roman"/>
        </w:rPr>
        <w:t xml:space="preserve">e l’attributo @spanTo </w:t>
      </w:r>
      <w:r w:rsidR="00D977AF">
        <w:rPr>
          <w:rFonts w:ascii="Times New Roman" w:hAnsi="Times New Roman" w:cs="Times New Roman"/>
        </w:rPr>
        <w:t>assolve il compito di individuare l’estensione della strofa.</w:t>
      </w:r>
    </w:p>
    <w:p w14:paraId="439E2E8F" w14:textId="39E38868" w:rsidR="006B0EBD" w:rsidRDefault="006B0EBD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nostra edizione diplomatica di ciascuna rima si sceglie di segnalare l’inizio dei righi di scrittura attraverso &lt;lb/&gt; (allorquando spezza l’unità semantica di una parola: &lt;lb break=”no”/&gt;); la “punteggiatura” unica utilizzata dal copista (si tratta di una punteggiatura “metrica”, che stacca i versi; e questo suo valore è indicato una volta per tutte </w:t>
      </w:r>
      <w:r w:rsidR="00EB25A0">
        <w:rPr>
          <w:rFonts w:ascii="Times New Roman" w:hAnsi="Times New Roman" w:cs="Times New Roman"/>
        </w:rPr>
        <w:t xml:space="preserve">dall’attributo @unit= “verso” per &lt;pc&gt;, sempre e solo utilizzato per la segnalazione di questo “tipo” di punteggiatura); le abbreviazioni (la cui presenza si segnala attraverso lo scioglimento stesso, </w:t>
      </w:r>
      <w:r w:rsidR="00B26024">
        <w:rPr>
          <w:rFonts w:ascii="Times New Roman" w:hAnsi="Times New Roman" w:cs="Times New Roman"/>
        </w:rPr>
        <w:t>con</w:t>
      </w:r>
      <w:r w:rsidR="00EB25A0">
        <w:rPr>
          <w:rFonts w:ascii="Times New Roman" w:hAnsi="Times New Roman" w:cs="Times New Roman"/>
        </w:rPr>
        <w:t xml:space="preserve"> l’elemento &lt;ex&gt;). Sono anche evidenziati i simboli (simili ad una chiocciola e tradotti digitalmente in </w:t>
      </w:r>
      <w:r w:rsidR="008B5830">
        <w:rPr>
          <w:rFonts w:ascii="Times New Roman" w:hAnsi="Times New Roman" w:cs="Times New Roman"/>
        </w:rPr>
        <w:t>“@”</w:t>
      </w:r>
      <w:r w:rsidR="00EB25A0">
        <w:rPr>
          <w:rFonts w:ascii="Times New Roman" w:hAnsi="Times New Roman" w:cs="Times New Roman"/>
        </w:rPr>
        <w:t xml:space="preserve">) che il copista </w:t>
      </w:r>
      <w:r w:rsidR="00D13F8D">
        <w:rPr>
          <w:rFonts w:ascii="Times New Roman" w:hAnsi="Times New Roman" w:cs="Times New Roman"/>
        </w:rPr>
        <w:t>inserisce lì dove vuole segnalare il salto dalla fronte alla sirma: per questi si sfrutta l’elemento &lt;g&gt; con l’attributo @ref, che rimanda alla &lt;</w:t>
      </w:r>
      <w:proofErr w:type="spellStart"/>
      <w:r w:rsidR="00D13F8D">
        <w:rPr>
          <w:rFonts w:ascii="Times New Roman" w:hAnsi="Times New Roman" w:cs="Times New Roman"/>
        </w:rPr>
        <w:t>charDecl</w:t>
      </w:r>
      <w:proofErr w:type="spellEnd"/>
      <w:r w:rsidR="00D13F8D">
        <w:rPr>
          <w:rFonts w:ascii="Times New Roman" w:hAnsi="Times New Roman" w:cs="Times New Roman"/>
        </w:rPr>
        <w:t xml:space="preserve">&gt; nel </w:t>
      </w:r>
      <w:proofErr w:type="spellStart"/>
      <w:r w:rsidR="00D13F8D">
        <w:rPr>
          <w:rFonts w:ascii="Times New Roman" w:hAnsi="Times New Roman" w:cs="Times New Roman"/>
        </w:rPr>
        <w:t>TeiHeader</w:t>
      </w:r>
      <w:proofErr w:type="spellEnd"/>
      <w:r w:rsidR="00D13F8D">
        <w:rPr>
          <w:rFonts w:ascii="Times New Roman" w:hAnsi="Times New Roman" w:cs="Times New Roman"/>
        </w:rPr>
        <w:t xml:space="preserve"> dove si descrive il significato del simbolo. Si inserisce infine, nella trascrizione di ciascuna rima, la segnalazione del segno di </w:t>
      </w:r>
      <w:r w:rsidR="00C31D71">
        <w:rPr>
          <w:rFonts w:ascii="Times New Roman" w:hAnsi="Times New Roman" w:cs="Times New Roman"/>
        </w:rPr>
        <w:t>paragrafo accanto ad ogni rima nel margine sinistro delle carte, attraverso l’elemento &lt;</w:t>
      </w:r>
      <w:proofErr w:type="spellStart"/>
      <w:r w:rsidR="00C31D71">
        <w:rPr>
          <w:rFonts w:ascii="Times New Roman" w:hAnsi="Times New Roman" w:cs="Times New Roman"/>
        </w:rPr>
        <w:t>metamark</w:t>
      </w:r>
      <w:proofErr w:type="spellEnd"/>
      <w:r w:rsidR="00C31D71">
        <w:rPr>
          <w:rFonts w:ascii="Times New Roman" w:hAnsi="Times New Roman" w:cs="Times New Roman"/>
        </w:rPr>
        <w:t>&gt; provvisto di un attributo @place che indica il luogo della pagina in cui è vergato. Entra anche questo segno nella trascrizione</w:t>
      </w:r>
      <w:r w:rsidR="00CD24CB">
        <w:rPr>
          <w:rFonts w:ascii="Times New Roman" w:hAnsi="Times New Roman" w:cs="Times New Roman"/>
        </w:rPr>
        <w:t xml:space="preserve"> (espresso dalla forma più simile nelle lettere dell’alfabeto, ossia la “f”), perché lo si è giudicato a tutti gli effetti un segno di scrittura da riportare in una trascrizione diplomatica.</w:t>
      </w:r>
    </w:p>
    <w:p w14:paraId="6A376900" w14:textId="39F559CD" w:rsidR="005A4097" w:rsidRDefault="005A4097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segnala inoltre, all’interno della trascrizione diplomatica, dove la scrittura è leggibile con difficoltà inserendo </w:t>
      </w:r>
      <w:r w:rsidR="00CF0EFE">
        <w:rPr>
          <w:rFonts w:ascii="Times New Roman" w:hAnsi="Times New Roman" w:cs="Times New Roman"/>
        </w:rPr>
        <w:t>il testo trascritto ma non</w:t>
      </w:r>
      <w:r>
        <w:rPr>
          <w:rFonts w:ascii="Times New Roman" w:hAnsi="Times New Roman" w:cs="Times New Roman"/>
        </w:rPr>
        <w:t xml:space="preserve"> chiar</w:t>
      </w:r>
      <w:r w:rsidR="00CF0EF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nell’elemento &lt;</w:t>
      </w:r>
      <w:proofErr w:type="spellStart"/>
      <w:r>
        <w:rPr>
          <w:rFonts w:ascii="Times New Roman" w:hAnsi="Times New Roman" w:cs="Times New Roman"/>
        </w:rPr>
        <w:t>unclear</w:t>
      </w:r>
      <w:proofErr w:type="spellEnd"/>
      <w:r>
        <w:rPr>
          <w:rFonts w:ascii="Times New Roman" w:hAnsi="Times New Roman" w:cs="Times New Roman"/>
        </w:rPr>
        <w:t>&gt;</w:t>
      </w:r>
      <w:r w:rsidR="00CF0EFE">
        <w:rPr>
          <w:rFonts w:ascii="Times New Roman" w:hAnsi="Times New Roman" w:cs="Times New Roman"/>
        </w:rPr>
        <w:t>, e si indica la ragione della difficoltà di lettura attraverso il suo attributo @reason (che è sempre “</w:t>
      </w:r>
      <w:proofErr w:type="spellStart"/>
      <w:r w:rsidR="00CF0EFE">
        <w:rPr>
          <w:rFonts w:ascii="Times New Roman" w:hAnsi="Times New Roman" w:cs="Times New Roman"/>
        </w:rPr>
        <w:t>cancelled</w:t>
      </w:r>
      <w:proofErr w:type="spellEnd"/>
      <w:r w:rsidR="00CF0EFE">
        <w:rPr>
          <w:rFonts w:ascii="Times New Roman" w:hAnsi="Times New Roman" w:cs="Times New Roman"/>
        </w:rPr>
        <w:t xml:space="preserve">”, cioè l’inchiostro si è cancellato). Accade di dover segnalare un caso di quasi totale </w:t>
      </w:r>
      <w:r w:rsidR="00830FEA">
        <w:rPr>
          <w:rFonts w:ascii="Times New Roman" w:hAnsi="Times New Roman" w:cs="Times New Roman"/>
        </w:rPr>
        <w:t>illeggibilità</w:t>
      </w:r>
      <w:r w:rsidR="00ED0238">
        <w:rPr>
          <w:rFonts w:ascii="Times New Roman" w:hAnsi="Times New Roman" w:cs="Times New Roman"/>
        </w:rPr>
        <w:t>: qui l’inchiostro è stato cancellato appositamente per eliminare quanto era scritto e si può soltanto formulare una congettura riguardo a quanto vi era stato vergato. Per questo caso si usa l’elemento &lt;gap&gt; in corrispondenza del “buco di scrittura”, all’interno di esso si innesta l’elemento &lt;</w:t>
      </w:r>
      <w:proofErr w:type="spellStart"/>
      <w:r w:rsidR="00ED0238">
        <w:rPr>
          <w:rFonts w:ascii="Times New Roman" w:hAnsi="Times New Roman" w:cs="Times New Roman"/>
        </w:rPr>
        <w:t>supplied</w:t>
      </w:r>
      <w:proofErr w:type="spellEnd"/>
      <w:r w:rsidR="00ED0238">
        <w:rPr>
          <w:rFonts w:ascii="Times New Roman" w:hAnsi="Times New Roman" w:cs="Times New Roman"/>
        </w:rPr>
        <w:t>&gt; che accoglie la congettura di lettura.</w:t>
      </w:r>
    </w:p>
    <w:p w14:paraId="22A61CAB" w14:textId="6BF78AC6" w:rsidR="00ED0238" w:rsidRDefault="00ED0238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utilizzano gli elementi &lt;del&gt; e &lt;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&gt; (quest’ultimo fornito dell’attributo @place il cui valore è “il luogo in cui viene a trovarsi l’aggiunta”) per segnalare </w:t>
      </w:r>
      <w:r w:rsidR="00CD2DE5">
        <w:rPr>
          <w:rFonts w:ascii="Times New Roman" w:hAnsi="Times New Roman" w:cs="Times New Roman"/>
        </w:rPr>
        <w:t>le porzioni di testo cancellate volontariamente dal copista e le aggiunte introdotte. La mano che verga il testo è principalmente una sola, e attua correzioni e aggiunte al momento stesso della trascrizione, non dopo. Interviene però un’altra mano, la cui azione si limita a ricalcare parti del testo poco leggibili: la porzione di testo che subisce questo intervento è delimitata dall’elemento &lt;</w:t>
      </w:r>
      <w:proofErr w:type="spellStart"/>
      <w:r w:rsidR="00CD2DE5">
        <w:rPr>
          <w:rFonts w:ascii="Times New Roman" w:hAnsi="Times New Roman" w:cs="Times New Roman"/>
        </w:rPr>
        <w:t>retrace</w:t>
      </w:r>
      <w:proofErr w:type="spellEnd"/>
      <w:r w:rsidR="00CD2DE5">
        <w:rPr>
          <w:rFonts w:ascii="Times New Roman" w:hAnsi="Times New Roman" w:cs="Times New Roman"/>
        </w:rPr>
        <w:t>&gt;</w:t>
      </w:r>
      <w:r w:rsidR="00BF3D4C">
        <w:rPr>
          <w:rFonts w:ascii="Times New Roman" w:hAnsi="Times New Roman" w:cs="Times New Roman"/>
        </w:rPr>
        <w:t>, e l’intromissione di un’altra mano è indicata dall’elemento &lt;</w:t>
      </w:r>
      <w:proofErr w:type="spellStart"/>
      <w:r w:rsidR="00BF3D4C">
        <w:rPr>
          <w:rFonts w:ascii="Times New Roman" w:hAnsi="Times New Roman" w:cs="Times New Roman"/>
        </w:rPr>
        <w:t>handShift</w:t>
      </w:r>
      <w:proofErr w:type="spellEnd"/>
      <w:r w:rsidR="00BF3D4C">
        <w:rPr>
          <w:rFonts w:ascii="Times New Roman" w:hAnsi="Times New Roman" w:cs="Times New Roman"/>
        </w:rPr>
        <w:t>&gt; che chiarisce anche, attraverso il suo attributo @new, la mano responsabile, puntando direttamente all’&lt;</w:t>
      </w:r>
      <w:proofErr w:type="spellStart"/>
      <w:r w:rsidR="00BF3D4C">
        <w:rPr>
          <w:rFonts w:ascii="Times New Roman" w:hAnsi="Times New Roman" w:cs="Times New Roman"/>
        </w:rPr>
        <w:t>handNote</w:t>
      </w:r>
      <w:proofErr w:type="spellEnd"/>
      <w:r w:rsidR="00BF3D4C">
        <w:rPr>
          <w:rFonts w:ascii="Times New Roman" w:hAnsi="Times New Roman" w:cs="Times New Roman"/>
        </w:rPr>
        <w:t xml:space="preserve">&gt;. </w:t>
      </w:r>
    </w:p>
    <w:p w14:paraId="1293CCDD" w14:textId="285CCB9E" w:rsidR="00BE6549" w:rsidRPr="00CC6B0F" w:rsidRDefault="00BE6549" w:rsidP="00757E69">
      <w:pPr>
        <w:spacing w:after="0"/>
        <w:ind w:firstLine="28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secondo elemento &lt;text&gt; si è voluto aggiungere al progetto </w:t>
      </w:r>
      <w:r w:rsidR="00CC6B0F">
        <w:rPr>
          <w:rFonts w:ascii="Times New Roman" w:hAnsi="Times New Roman" w:cs="Times New Roman"/>
        </w:rPr>
        <w:t xml:space="preserve">il testo della nostra edizione della canzone </w:t>
      </w:r>
      <w:r w:rsidR="00CC6B0F">
        <w:rPr>
          <w:rFonts w:ascii="Times New Roman" w:hAnsi="Times New Roman" w:cs="Times New Roman"/>
          <w:i/>
          <w:iCs/>
        </w:rPr>
        <w:t xml:space="preserve">Donna senza pietanza </w:t>
      </w:r>
      <w:r w:rsidR="00CC6B0F">
        <w:rPr>
          <w:rFonts w:ascii="Times New Roman" w:hAnsi="Times New Roman" w:cs="Times New Roman"/>
        </w:rPr>
        <w:t xml:space="preserve">di </w:t>
      </w:r>
      <w:proofErr w:type="spellStart"/>
      <w:r w:rsidR="00CC6B0F">
        <w:rPr>
          <w:rFonts w:ascii="Times New Roman" w:hAnsi="Times New Roman" w:cs="Times New Roman"/>
        </w:rPr>
        <w:t>Lapuccio</w:t>
      </w:r>
      <w:proofErr w:type="spellEnd"/>
      <w:r w:rsidR="00CC6B0F">
        <w:rPr>
          <w:rFonts w:ascii="Times New Roman" w:hAnsi="Times New Roman" w:cs="Times New Roman"/>
        </w:rPr>
        <w:t xml:space="preserve"> </w:t>
      </w:r>
      <w:proofErr w:type="spellStart"/>
      <w:r w:rsidR="00CC6B0F">
        <w:rPr>
          <w:rFonts w:ascii="Times New Roman" w:hAnsi="Times New Roman" w:cs="Times New Roman"/>
        </w:rPr>
        <w:t>Belfradelli</w:t>
      </w:r>
      <w:proofErr w:type="spellEnd"/>
      <w:r w:rsidR="00CC6B0F">
        <w:rPr>
          <w:rFonts w:ascii="Times New Roman" w:hAnsi="Times New Roman" w:cs="Times New Roman"/>
        </w:rPr>
        <w:t xml:space="preserve">. Il testo della nostra edizione è trasposto digitalmente </w:t>
      </w:r>
      <w:r w:rsidR="00EE3A93">
        <w:rPr>
          <w:rFonts w:ascii="Times New Roman" w:hAnsi="Times New Roman" w:cs="Times New Roman"/>
        </w:rPr>
        <w:t>traducendo l’unità strofica nell’elemento &lt;</w:t>
      </w:r>
      <w:r w:rsidR="008B5830">
        <w:rPr>
          <w:rFonts w:ascii="Times New Roman" w:hAnsi="Times New Roman" w:cs="Times New Roman"/>
        </w:rPr>
        <w:t>lg</w:t>
      </w:r>
      <w:r w:rsidR="00EE3A93">
        <w:rPr>
          <w:rFonts w:ascii="Times New Roman" w:hAnsi="Times New Roman" w:cs="Times New Roman"/>
        </w:rPr>
        <w:t xml:space="preserve">&gt;; </w:t>
      </w:r>
      <w:r w:rsidR="0096204D">
        <w:rPr>
          <w:rFonts w:ascii="Times New Roman" w:hAnsi="Times New Roman" w:cs="Times New Roman"/>
        </w:rPr>
        <w:t>includendo i versi in una successione numerata (attraverso l’attributo @n) di &lt;l&gt;; e specificando l’apparato attraverso l’elemento &lt;app&gt;. Trattandosi</w:t>
      </w:r>
      <w:r w:rsidR="007375DF">
        <w:rPr>
          <w:rFonts w:ascii="Times New Roman" w:hAnsi="Times New Roman" w:cs="Times New Roman"/>
        </w:rPr>
        <w:t xml:space="preserve"> di un testo </w:t>
      </w:r>
      <w:proofErr w:type="spellStart"/>
      <w:r w:rsidR="007375DF">
        <w:rPr>
          <w:rFonts w:ascii="Times New Roman" w:hAnsi="Times New Roman" w:cs="Times New Roman"/>
        </w:rPr>
        <w:t>monotestimoniato</w:t>
      </w:r>
      <w:proofErr w:type="spellEnd"/>
      <w:r w:rsidR="007375DF">
        <w:rPr>
          <w:rFonts w:ascii="Times New Roman" w:hAnsi="Times New Roman" w:cs="Times New Roman"/>
        </w:rPr>
        <w:t xml:space="preserve"> &lt;app&gt; si limita a riferire due varianti del testo: quella di V (cioè la variante “diplomatica”) inserita in &lt;</w:t>
      </w:r>
      <w:proofErr w:type="spellStart"/>
      <w:r w:rsidR="007375DF">
        <w:rPr>
          <w:rFonts w:ascii="Times New Roman" w:hAnsi="Times New Roman" w:cs="Times New Roman"/>
        </w:rPr>
        <w:t>rdg</w:t>
      </w:r>
      <w:proofErr w:type="spellEnd"/>
      <w:r w:rsidR="007375DF">
        <w:rPr>
          <w:rFonts w:ascii="Times New Roman" w:hAnsi="Times New Roman" w:cs="Times New Roman"/>
        </w:rPr>
        <w:t xml:space="preserve">&gt; e quella che è la nostra proposta del testo – </w:t>
      </w:r>
      <w:r w:rsidR="00BF47CD">
        <w:rPr>
          <w:rFonts w:ascii="Times New Roman" w:hAnsi="Times New Roman" w:cs="Times New Roman"/>
        </w:rPr>
        <w:t xml:space="preserve">solo </w:t>
      </w:r>
      <w:r w:rsidR="007375DF">
        <w:rPr>
          <w:rFonts w:ascii="Times New Roman" w:hAnsi="Times New Roman" w:cs="Times New Roman"/>
        </w:rPr>
        <w:t xml:space="preserve">laddove non è possibile accettare la lezione di V – </w:t>
      </w:r>
      <w:r w:rsidR="00BF47CD">
        <w:rPr>
          <w:rFonts w:ascii="Times New Roman" w:hAnsi="Times New Roman" w:cs="Times New Roman"/>
        </w:rPr>
        <w:t>e quest’ultima si inserisce in</w:t>
      </w:r>
      <w:r w:rsidR="007375DF">
        <w:rPr>
          <w:rFonts w:ascii="Times New Roman" w:hAnsi="Times New Roman" w:cs="Times New Roman"/>
        </w:rPr>
        <w:t xml:space="preserve"> &lt;</w:t>
      </w:r>
      <w:proofErr w:type="spellStart"/>
      <w:r w:rsidR="007375DF">
        <w:rPr>
          <w:rFonts w:ascii="Times New Roman" w:hAnsi="Times New Roman" w:cs="Times New Roman"/>
        </w:rPr>
        <w:t>lem</w:t>
      </w:r>
      <w:proofErr w:type="spellEnd"/>
      <w:r w:rsidR="007375DF">
        <w:rPr>
          <w:rFonts w:ascii="Times New Roman" w:hAnsi="Times New Roman" w:cs="Times New Roman"/>
        </w:rPr>
        <w:t>&gt;.</w:t>
      </w:r>
    </w:p>
    <w:sectPr w:rsidR="00BE6549" w:rsidRPr="00CC6B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F4558"/>
    <w:multiLevelType w:val="hybridMultilevel"/>
    <w:tmpl w:val="3F2E5058"/>
    <w:lvl w:ilvl="0" w:tplc="50F2A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8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5"/>
    <w:rsid w:val="000523DC"/>
    <w:rsid w:val="001B23C5"/>
    <w:rsid w:val="001C312F"/>
    <w:rsid w:val="001F41B0"/>
    <w:rsid w:val="0021362B"/>
    <w:rsid w:val="002A6693"/>
    <w:rsid w:val="00325BEA"/>
    <w:rsid w:val="00363CAE"/>
    <w:rsid w:val="004151F2"/>
    <w:rsid w:val="00426F54"/>
    <w:rsid w:val="004932A2"/>
    <w:rsid w:val="005371F5"/>
    <w:rsid w:val="005937F7"/>
    <w:rsid w:val="005A4097"/>
    <w:rsid w:val="006A24DE"/>
    <w:rsid w:val="006B0EBD"/>
    <w:rsid w:val="007375DF"/>
    <w:rsid w:val="00757E69"/>
    <w:rsid w:val="00782FA9"/>
    <w:rsid w:val="007854F2"/>
    <w:rsid w:val="00830FEA"/>
    <w:rsid w:val="008B5830"/>
    <w:rsid w:val="0096204D"/>
    <w:rsid w:val="00980480"/>
    <w:rsid w:val="00B26024"/>
    <w:rsid w:val="00B6559B"/>
    <w:rsid w:val="00BB295B"/>
    <w:rsid w:val="00BE6549"/>
    <w:rsid w:val="00BF3D4C"/>
    <w:rsid w:val="00BF47CD"/>
    <w:rsid w:val="00C31D71"/>
    <w:rsid w:val="00C569D9"/>
    <w:rsid w:val="00C7326A"/>
    <w:rsid w:val="00CA14AD"/>
    <w:rsid w:val="00CC6B0F"/>
    <w:rsid w:val="00CD24CB"/>
    <w:rsid w:val="00CD2DE5"/>
    <w:rsid w:val="00CF0EFE"/>
    <w:rsid w:val="00D13F8D"/>
    <w:rsid w:val="00D363C3"/>
    <w:rsid w:val="00D977AF"/>
    <w:rsid w:val="00E641A6"/>
    <w:rsid w:val="00E65043"/>
    <w:rsid w:val="00EB25A0"/>
    <w:rsid w:val="00ED0238"/>
    <w:rsid w:val="00EE3A93"/>
    <w:rsid w:val="00F31C6F"/>
    <w:rsid w:val="00FC7DC4"/>
    <w:rsid w:val="00F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6224"/>
  <w15:chartTrackingRefBased/>
  <w15:docId w15:val="{73C491F7-481B-44A7-B20E-2C3CB9A4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Malerba</dc:creator>
  <cp:keywords/>
  <dc:description/>
  <cp:lastModifiedBy>Serena Malerba</cp:lastModifiedBy>
  <cp:revision>10</cp:revision>
  <dcterms:created xsi:type="dcterms:W3CDTF">2022-08-19T07:44:00Z</dcterms:created>
  <dcterms:modified xsi:type="dcterms:W3CDTF">2022-09-14T10:48:00Z</dcterms:modified>
</cp:coreProperties>
</file>