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300" w:before="2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B4332"/>
          <w:sz w:val="56"/>
          <w:szCs w:val="56"/>
        </w:rPr>
        <w:t xml:space="preserve">Serendib Learn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C9873A"/>
          <w:sz w:val="32"/>
          <w:szCs w:val="32"/>
        </w:rPr>
        <w:t xml:space="preserve">Brand Guide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Keeping languages alive.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100"/>
      </w:pPr>
      <w:r>
        <w:rPr>
          <w:b/>
          <w:bCs/>
          <w:color w:val="1B4332"/>
        </w:rPr>
        <w:t xml:space="preserve">Logo &amp; Mark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C2416"/>
          <w:sz w:val="22"/>
          <w:szCs w:val="22"/>
        </w:rPr>
        <w:t xml:space="preserve">The primary mark is the Araliya flower -- five white petals with an amber centre, set on a forest-green circle. It pairs with the lowercase serif wordmark "serendib.learn" and the tagline "Keeping languages alive."</w:t>
      </w:r>
    </w:p>
    <w:p>
      <w:pPr>
        <w:spacing w:after="100" w:before="200"/>
      </w:pPr>
      <w:r>
        <w:rPr>
          <w:b/>
          <w:bCs/>
          <w:color w:val="2D6A4F"/>
          <w:sz w:val="22"/>
          <w:szCs w:val="22"/>
        </w:rPr>
        <w:t xml:space="preserve">The mark alone</w:t>
      </w:r>
    </w:p>
    <w:p>
      <w:pPr>
        <w:spacing w:after="200" w:before="2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2D6A4F"/>
          <w:sz w:val="22"/>
          <w:szCs w:val="22"/>
        </w:rPr>
        <w:t xml:space="preserve">Horizontal lockup</w:t>
      </w:r>
    </w:p>
    <w:p>
      <w:pPr>
        <w:spacing w:after="200" w:before="200"/>
        <w:jc w:val="center"/>
      </w:pPr>
      <w:r>
        <w:drawing>
          <wp:inline distT="0" distB="0" distL="0" distR="0">
            <wp:extent cx="40005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color w:val="2D6A4F"/>
          <w:sz w:val="22"/>
          <w:szCs w:val="22"/>
        </w:rPr>
        <w:t xml:space="preserve">Vertical lockup</w:t>
      </w:r>
    </w:p>
    <w:p>
      <w:pPr>
        <w:spacing w:after="200" w:before="200"/>
        <w:jc w:val="center"/>
      </w:pPr>
      <w:r>
        <w:drawing>
          <wp:inline distT="0" distB="0" distL="0" distR="0">
            <wp:extent cx="190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b/>
          <w:bCs/>
          <w:color w:val="2D6A4F"/>
          <w:sz w:val="22"/>
          <w:szCs w:val="22"/>
        </w:rPr>
        <w:t xml:space="preserve">Usage notes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Minimum clear space: keep the mark's own height as breathing room on every side.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Backgrounds: the mark reads best on Cream (#F7F3ED) or Forest (#1B4332).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Avoid placing the mark over busy photography or low-contrast backgrounds.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Don't recolour the flower, stretch the lockup, or rotate the mark.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100"/>
      </w:pPr>
      <w:r>
        <w:rPr>
          <w:b/>
          <w:bCs/>
          <w:color w:val="1B4332"/>
        </w:rPr>
        <w:t xml:space="preserve">Colour Palette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2C2416"/>
          <w:sz w:val="22"/>
          <w:szCs w:val="22"/>
        </w:rPr>
        <w:t xml:space="preserve">Forest green is Sri Lankan jungle -- depth and trust. Spice amber is cinnamon -- warmth and heritage. Cream is calm, premium, unhurried. Never use corporate blue: this should feel like a boutique Colombo cafe, not a tech startup.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00"/>
      </w:pPr>
      <w:r>
        <w:rPr>
          <w:b/>
          <w:bCs/>
          <w:color w:val="2D6A4F"/>
          <w:sz w:val="22"/>
          <w:szCs w:val="22"/>
        </w:rPr>
        <w:t xml:space="preserve">Where each colour lives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Forest #1B4332 -- primary; headers, navigation, dark sections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Fern #2D6A4F -- secondary green; supporting text and accents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Spice #C9873A -- primary call-to-action colour (buttons, links)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Cream #F7F3ED -- primary background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Sage #95C4AA -- muted text on dark backgrounds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Earth #2C2416 -- body text on light backgrounds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100"/>
      </w:pPr>
      <w:r>
        <w:rPr>
          <w:b/>
          <w:bCs/>
          <w:color w:val="1B4332"/>
        </w:rPr>
        <w:t xml:space="preserve">Typography</w:t>
      </w:r>
    </w:p>
    <w:p>
      <w:pPr>
        <w:spacing w:after="60" w:before="100"/>
      </w:pPr>
      <w:r>
        <w:rPr>
          <w:b/>
          <w:bCs/>
          <w:color w:val="2D6A4F"/>
          <w:sz w:val="22"/>
          <w:szCs w:val="22"/>
        </w:rPr>
        <w:t xml:space="preserve">Headings -- Georgia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B4332"/>
          <w:sz w:val="40"/>
          <w:szCs w:val="40"/>
        </w:rPr>
        <w:t xml:space="preserve">The quick brown fox jumps over the lazy dog</w:t>
      </w:r>
    </w:p>
    <w:p>
      <w:pPr>
        <w:spacing w:after="24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Warm and editorial. Used for all headlines and display text.</w:t>
      </w:r>
    </w:p>
    <w:p>
      <w:pPr>
        <w:spacing w:after="60" w:before="100"/>
      </w:pPr>
      <w:r>
        <w:rPr>
          <w:b/>
          <w:bCs/>
          <w:color w:val="2D6A4F"/>
          <w:sz w:val="22"/>
          <w:szCs w:val="22"/>
        </w:rPr>
        <w:t xml:space="preserve">Body &amp; UI -- Inter</w:t>
      </w:r>
    </w:p>
    <w:p>
      <w:pPr>
        <w:spacing w:after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C2416"/>
          <w:sz w:val="26"/>
          <w:szCs w:val="26"/>
        </w:rPr>
        <w:t xml:space="preserve">The quick brown fox jumps over the lazy dog</w:t>
      </w:r>
    </w:p>
    <w:p>
      <w:pPr>
        <w:spacing w:after="24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Clean and highly legible. Used for paragraphs, navigation, and buttons.</w:t>
      </w:r>
    </w:p>
    <w:p>
      <w:pPr>
        <w:spacing w:after="100" w:before="200"/>
      </w:pPr>
      <w:r>
        <w:rPr>
          <w:b/>
          <w:bCs/>
          <w:color w:val="2D6A4F"/>
          <w:sz w:val="22"/>
          <w:szCs w:val="22"/>
        </w:rPr>
        <w:t xml:space="preserve">Tone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C2416"/>
          <w:sz w:val="22"/>
          <w:szCs w:val="22"/>
        </w:rPr>
        <w:t xml:space="preserve">Serif headlines carry the emotional, editorial weight. Sans-serif body copy keeps things practical and readable.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100"/>
      </w:pPr>
      <w:r>
        <w:rPr>
          <w:b/>
          <w:bCs/>
          <w:color w:val="1B4332"/>
        </w:rPr>
        <w:t xml:space="preserve">Voice &amp; Tone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C2416"/>
          <w:sz w:val="22"/>
          <w:szCs w:val="22"/>
        </w:rPr>
        <w:t xml:space="preserve">Warm, personal, editorial -- never corporate or salesy.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C9873A"/>
          <w:sz w:val="26"/>
          <w:szCs w:val="26"/>
        </w:rPr>
        <w:t xml:space="preserve">“The language your child speaks with their grandmother is worth fighting for.”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C2416"/>
          <w:sz w:val="22"/>
          <w:szCs w:val="22"/>
        </w:rPr>
        <w:t xml:space="preserve">Mission line: keeping Sinhala and Tamil alive for the next generation, one family at a time.</w:t>
      </w:r>
    </w:p>
    <w:p>
      <w:pPr>
        <w:spacing w:after="60" w:before="100"/>
      </w:pPr>
      <w:r>
        <w:rPr>
          <w:b/>
          <w:bCs/>
          <w:color w:val="2D6A4F"/>
          <w:sz w:val="22"/>
          <w:szCs w:val="22"/>
        </w:rPr>
        <w:t xml:space="preserve">Favour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Specific, sensory, human details over abstract claims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Direct, warm language that speaks to families, not "users"</w:t>
      </w:r>
    </w:p>
    <w:p>
      <w:pPr>
        <w:spacing w:after="60" w:before="200"/>
      </w:pPr>
      <w:r>
        <w:rPr>
          <w:b/>
          <w:bCs/>
          <w:color w:val="2D6A4F"/>
          <w:sz w:val="22"/>
          <w:szCs w:val="22"/>
        </w:rPr>
        <w:t xml:space="preserve">Avoid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Jargon and hard-sell language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Generic edtech phrasing</w:t>
      </w:r>
    </w:p>
    <w:p>
      <w:pPr>
        <w:spacing w:after="80"/>
      </w:pPr>
      <w:r>
        <w:rPr>
          <w:color w:val="2C2416"/>
          <w:sz w:val="22"/>
          <w:szCs w:val="22"/>
        </w:rPr>
        <w:t xml:space="preserve">•  Corporate blue, corporate tone, corporate anything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c98ba6de8b28cf6712c27fda67f69754e8c00.png"/><Relationship Id="rId8" Type="http://schemas.openxmlformats.org/officeDocument/2006/relationships/image" Target="media/de1e3c5baa5d458c29394ec10af5d35fc3fbeb10.png"/><Relationship Id="rId9" Type="http://schemas.openxmlformats.org/officeDocument/2006/relationships/image" Target="media/dd0adbd48fee19db56f3b26a5047369a66315940.png"/><Relationship Id="rId10" Type="http://schemas.openxmlformats.org/officeDocument/2006/relationships/image" Target="media/b79ac8b69c6cf2bb6e4872318349aec8eae97f6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2026-08-05T07:12:44.232Z</dcterms:created>
  <dcterms:modified xsi:type="dcterms:W3CDTF">2026-08-05T07:12:44.234Z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