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80"/>
      </w:pPr>
      <w:r>
        <w:rPr>
          <w:b/>
        </w:rPr>
        <w:t xml:space="preserve">Supplementary Table Sx. </w:t>
      </w:r>
      <w:r>
        <w:t xml:space="preserve">PERMANOVA of microbial taxonomic composition and functional pathway profiles associated with Figure 1. </w:t>
      </w:r>
      <w:r>
        <w:t>Global models assess location, plant compartment and inoculation; interaction models test whether the inoculation-associated shift differs between root and rhizosphere communities.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9CA3AF"/>
          <w:bottom w:val="single" w:sz="6" w:color="9CA3AF"/>
          <w:insideH w:val="single" w:sz="3" w:color="9CA3AF"/>
        </w:tblBorders>
      </w:tblPr>
      <w:tblGrid>
        <w:gridCol w:w="1807"/>
        <w:gridCol w:w="1807"/>
        <w:gridCol w:w="1807"/>
        <w:gridCol w:w="1807"/>
        <w:gridCol w:w="1807"/>
        <w:gridCol w:w="1807"/>
        <w:gridCol w:w="1807"/>
        <w:gridCol w:w="1807"/>
      </w:tblGrid>
      <w:tr>
        <w:trPr>
          <w:tblHeader w:val="true"/>
        </w:trPr>
        <w:tc>
          <w:tcPr>
            <w:tcW w:type="dxa" w:w="2041"/>
            <w:vAlign w:val="center"/>
            <w:shd w:fill="EDEDED"/>
          </w:tcPr>
          <w:p>
            <w:pPr>
              <w:spacing w:after="0"/>
              <w:jc w:val="left"/>
            </w:pPr>
            <w:r>
              <w:rPr>
                <w:b/>
              </w:rPr>
              <w:t>Profile</w:t>
            </w:r>
          </w:p>
        </w:tc>
        <w:tc>
          <w:tcPr>
            <w:tcW w:type="dxa" w:w="1701"/>
            <w:vAlign w:val="center"/>
            <w:shd w:fill="EDEDED"/>
          </w:tcPr>
          <w:p>
            <w:pPr>
              <w:spacing w:after="0"/>
              <w:jc w:val="left"/>
            </w:pPr>
            <w:r>
              <w:rPr>
                <w:b/>
              </w:rPr>
              <w:t>Model</w:t>
            </w:r>
          </w:p>
        </w:tc>
        <w:tc>
          <w:tcPr>
            <w:tcW w:type="dxa" w:w="3118"/>
            <w:vAlign w:val="center"/>
            <w:shd w:fill="EDEDED"/>
          </w:tcPr>
          <w:p>
            <w:pPr>
              <w:spacing w:after="0"/>
              <w:jc w:val="left"/>
            </w:pPr>
            <w:r>
              <w:rPr>
                <w:b/>
              </w:rPr>
              <w:t>Term</w:t>
            </w:r>
          </w:p>
        </w:tc>
        <w:tc>
          <w:tcPr>
            <w:tcW w:type="dxa" w:w="737"/>
            <w:vAlign w:val="center"/>
            <w:shd w:fill="EDEDED"/>
          </w:tcPr>
          <w:p>
            <w:pPr>
              <w:spacing w:after="0"/>
              <w:jc w:val="right"/>
            </w:pPr>
            <w:r>
              <w:rPr>
                <w:b/>
              </w:rPr>
              <w:t>Df</w:t>
            </w:r>
          </w:p>
        </w:tc>
        <w:tc>
          <w:tcPr>
            <w:tcW w:type="dxa" w:w="1134"/>
            <w:vAlign w:val="center"/>
            <w:shd w:fill="EDEDED"/>
          </w:tcPr>
          <w:p>
            <w:pPr>
              <w:spacing w:after="0"/>
              <w:jc w:val="right"/>
            </w:pPr>
            <w:r>
              <w:rPr>
                <w:b/>
              </w:rPr>
              <w:t>Sum Sq</w:t>
            </w:r>
          </w:p>
        </w:tc>
        <w:tc>
          <w:tcPr>
            <w:tcW w:type="dxa" w:w="907"/>
            <w:vAlign w:val="center"/>
            <w:shd w:fill="EDEDED"/>
          </w:tcPr>
          <w:p>
            <w:pPr>
              <w:spacing w:after="0"/>
              <w:jc w:val="right"/>
            </w:pPr>
            <w:r>
              <w:rPr>
                <w:b/>
              </w:rPr>
              <w:t>R²</w:t>
            </w:r>
          </w:p>
        </w:tc>
        <w:tc>
          <w:tcPr>
            <w:tcW w:type="dxa" w:w="1020"/>
            <w:vAlign w:val="center"/>
            <w:shd w:fill="EDEDED"/>
          </w:tcPr>
          <w:p>
            <w:pPr>
              <w:spacing w:after="0"/>
              <w:jc w:val="right"/>
            </w:pPr>
            <w:r>
              <w:rPr>
                <w:b/>
              </w:rPr>
              <w:t>Pseudo-F</w:t>
            </w:r>
          </w:p>
        </w:tc>
        <w:tc>
          <w:tcPr>
            <w:tcW w:type="dxa" w:w="964"/>
            <w:vAlign w:val="center"/>
            <w:shd w:fill="EDEDED"/>
          </w:tcPr>
          <w:p>
            <w:pPr>
              <w:spacing w:after="0"/>
              <w:jc w:val="right"/>
            </w:pPr>
            <w:r>
              <w:rPr>
                <w:b/>
              </w:rPr>
              <w:t>P value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Taxonomic composition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Global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Location</w:t>
            </w:r>
          </w:p>
        </w:tc>
        <w:tc>
          <w:tcPr>
            <w:tcW w:type="dxa" w:w="737"/>
            <w:vAlign w:val="center"/>
          </w:tcPr>
          <w:p>
            <w:pPr>
              <w:spacing w:after="0"/>
              <w:jc w:val="right"/>
            </w:pPr>
            <w:r>
              <w:rPr>
                <w:sz w:val="18"/>
              </w:rPr>
              <w:t>4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  <w:jc w:val="right"/>
            </w:pPr>
            <w:r>
              <w:rPr>
                <w:sz w:val="18"/>
              </w:rPr>
              <w:t>0.273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right"/>
            </w:pPr>
            <w:r>
              <w:rPr>
                <w:sz w:val="18"/>
              </w:rPr>
              <w:t>0.186</w:t>
            </w:r>
          </w:p>
        </w:tc>
        <w:tc>
          <w:tcPr>
            <w:tcW w:type="dxa" w:w="1020"/>
            <w:vAlign w:val="center"/>
          </w:tcPr>
          <w:p>
            <w:pPr>
              <w:spacing w:after="0"/>
              <w:jc w:val="right"/>
            </w:pPr>
            <w:r>
              <w:rPr>
                <w:sz w:val="18"/>
              </w:rPr>
              <w:t>15.60</w:t>
            </w:r>
          </w:p>
        </w:tc>
        <w:tc>
          <w:tcPr>
            <w:tcW w:type="dxa" w:w="964"/>
            <w:vAlign w:val="center"/>
          </w:tcPr>
          <w:p>
            <w:pPr>
              <w:spacing w:after="0"/>
              <w:jc w:val="right"/>
            </w:pPr>
            <w:r>
              <w:rPr>
                <w:sz w:val="18"/>
              </w:rPr>
              <w:t>0.001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Taxonomic composition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Global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Compartment</w:t>
            </w:r>
          </w:p>
        </w:tc>
        <w:tc>
          <w:tcPr>
            <w:tcW w:type="dxa" w:w="737"/>
            <w:vAlign w:val="center"/>
          </w:tcPr>
          <w:p>
            <w:pPr>
              <w:spacing w:after="0"/>
              <w:jc w:val="right"/>
            </w:pPr>
            <w:r>
              <w:rPr>
                <w:sz w:val="18"/>
              </w:rPr>
              <w:t>1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  <w:jc w:val="right"/>
            </w:pPr>
            <w:r>
              <w:rPr>
                <w:sz w:val="18"/>
              </w:rPr>
              <w:t>0.784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right"/>
            </w:pPr>
            <w:r>
              <w:rPr>
                <w:sz w:val="18"/>
              </w:rPr>
              <w:t>0.533</w:t>
            </w:r>
          </w:p>
        </w:tc>
        <w:tc>
          <w:tcPr>
            <w:tcW w:type="dxa" w:w="1020"/>
            <w:vAlign w:val="center"/>
          </w:tcPr>
          <w:p>
            <w:pPr>
              <w:spacing w:after="0"/>
              <w:jc w:val="right"/>
            </w:pPr>
            <w:r>
              <w:rPr>
                <w:sz w:val="18"/>
              </w:rPr>
              <w:t>179.10</w:t>
            </w:r>
          </w:p>
        </w:tc>
        <w:tc>
          <w:tcPr>
            <w:tcW w:type="dxa" w:w="964"/>
            <w:vAlign w:val="center"/>
          </w:tcPr>
          <w:p>
            <w:pPr>
              <w:spacing w:after="0"/>
              <w:jc w:val="right"/>
            </w:pPr>
            <w:r>
              <w:rPr>
                <w:sz w:val="18"/>
              </w:rPr>
              <w:t>0.001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Taxonomic composition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Global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Inoculation</w:t>
            </w:r>
          </w:p>
        </w:tc>
        <w:tc>
          <w:tcPr>
            <w:tcW w:type="dxa" w:w="737"/>
            <w:vAlign w:val="center"/>
          </w:tcPr>
          <w:p>
            <w:pPr>
              <w:spacing w:after="0"/>
              <w:jc w:val="right"/>
            </w:pPr>
            <w:r>
              <w:rPr>
                <w:sz w:val="18"/>
              </w:rPr>
              <w:t>1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  <w:jc w:val="right"/>
            </w:pPr>
            <w:r>
              <w:rPr>
                <w:sz w:val="18"/>
              </w:rPr>
              <w:t>0.023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right"/>
            </w:pPr>
            <w:r>
              <w:rPr>
                <w:sz w:val="18"/>
              </w:rPr>
              <w:t>0.016</w:t>
            </w:r>
          </w:p>
        </w:tc>
        <w:tc>
          <w:tcPr>
            <w:tcW w:type="dxa" w:w="1020"/>
            <w:vAlign w:val="center"/>
          </w:tcPr>
          <w:p>
            <w:pPr>
              <w:spacing w:after="0"/>
              <w:jc w:val="right"/>
            </w:pPr>
            <w:r>
              <w:rPr>
                <w:sz w:val="18"/>
              </w:rPr>
              <w:t>5.32</w:t>
            </w:r>
          </w:p>
        </w:tc>
        <w:tc>
          <w:tcPr>
            <w:tcW w:type="dxa" w:w="964"/>
            <w:vAlign w:val="center"/>
          </w:tcPr>
          <w:p>
            <w:pPr>
              <w:spacing w:after="0"/>
              <w:jc w:val="right"/>
            </w:pPr>
            <w:r>
              <w:rPr>
                <w:sz w:val="18"/>
              </w:rPr>
              <w:t>0.001</w:t>
            </w:r>
          </w:p>
        </w:tc>
      </w:tr>
      <w:tr>
        <w:tc>
          <w:tcPr>
            <w:tcW w:type="dxa" w:w="2041"/>
            <w:vAlign w:val="center"/>
            <w:shd w:fill="F5F7F8"/>
          </w:tcPr>
          <w:p>
            <w:pPr>
              <w:spacing w:after="0"/>
              <w:jc w:val="left"/>
            </w:pPr>
            <w:r>
              <w:rPr>
                <w:sz w:val="18"/>
              </w:rPr>
              <w:t>Taxonomic composition</w:t>
            </w:r>
          </w:p>
        </w:tc>
        <w:tc>
          <w:tcPr>
            <w:tcW w:type="dxa" w:w="1701"/>
            <w:vAlign w:val="center"/>
            <w:shd w:fill="F5F7F8"/>
          </w:tcPr>
          <w:p>
            <w:pPr>
              <w:spacing w:after="0"/>
              <w:jc w:val="left"/>
            </w:pPr>
            <w:r>
              <w:rPr>
                <w:sz w:val="18"/>
              </w:rPr>
              <w:t>Interaction</w:t>
            </w:r>
          </w:p>
        </w:tc>
        <w:tc>
          <w:tcPr>
            <w:tcW w:type="dxa" w:w="3118"/>
            <w:vAlign w:val="center"/>
            <w:shd w:fill="F5F7F8"/>
          </w:tcPr>
          <w:p>
            <w:pPr>
              <w:spacing w:after="0"/>
              <w:jc w:val="left"/>
            </w:pPr>
            <w:r>
              <w:rPr>
                <w:sz w:val="18"/>
              </w:rPr>
              <w:t>Compartment × inoculation</w:t>
            </w:r>
          </w:p>
        </w:tc>
        <w:tc>
          <w:tcPr>
            <w:tcW w:type="dxa" w:w="737"/>
            <w:vAlign w:val="center"/>
            <w:shd w:fill="F5F7F8"/>
          </w:tcPr>
          <w:p>
            <w:pPr>
              <w:spacing w:after="0"/>
              <w:jc w:val="right"/>
            </w:pPr>
            <w:r>
              <w:rPr>
                <w:sz w:val="18"/>
              </w:rPr>
              <w:t>1</w:t>
            </w:r>
          </w:p>
        </w:tc>
        <w:tc>
          <w:tcPr>
            <w:tcW w:type="dxa" w:w="1134"/>
            <w:vAlign w:val="center"/>
            <w:shd w:fill="F5F7F8"/>
          </w:tcPr>
          <w:p>
            <w:pPr>
              <w:spacing w:after="0"/>
              <w:jc w:val="right"/>
            </w:pPr>
            <w:r>
              <w:rPr>
                <w:sz w:val="18"/>
              </w:rPr>
              <w:t>0.013</w:t>
            </w:r>
          </w:p>
        </w:tc>
        <w:tc>
          <w:tcPr>
            <w:tcW w:type="dxa" w:w="907"/>
            <w:vAlign w:val="center"/>
            <w:shd w:fill="F5F7F8"/>
          </w:tcPr>
          <w:p>
            <w:pPr>
              <w:spacing w:after="0"/>
              <w:jc w:val="right"/>
            </w:pPr>
            <w:r>
              <w:rPr>
                <w:sz w:val="18"/>
              </w:rPr>
              <w:t>0.009</w:t>
            </w:r>
          </w:p>
        </w:tc>
        <w:tc>
          <w:tcPr>
            <w:tcW w:type="dxa" w:w="1020"/>
            <w:vAlign w:val="center"/>
            <w:shd w:fill="F5F7F8"/>
          </w:tcPr>
          <w:p>
            <w:pPr>
              <w:spacing w:after="0"/>
              <w:jc w:val="right"/>
            </w:pPr>
            <w:r>
              <w:rPr>
                <w:sz w:val="18"/>
              </w:rPr>
              <w:t>3.11</w:t>
            </w:r>
          </w:p>
        </w:tc>
        <w:tc>
          <w:tcPr>
            <w:tcW w:type="dxa" w:w="964"/>
            <w:vAlign w:val="center"/>
            <w:shd w:fill="F5F7F8"/>
          </w:tcPr>
          <w:p>
            <w:pPr>
              <w:spacing w:after="0"/>
              <w:jc w:val="right"/>
            </w:pPr>
            <w:r>
              <w:rPr>
                <w:sz w:val="18"/>
              </w:rPr>
              <w:t>0.042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Functional pathways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Global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Location</w:t>
            </w:r>
          </w:p>
        </w:tc>
        <w:tc>
          <w:tcPr>
            <w:tcW w:type="dxa" w:w="737"/>
            <w:vAlign w:val="center"/>
          </w:tcPr>
          <w:p>
            <w:pPr>
              <w:spacing w:after="0"/>
              <w:jc w:val="right"/>
            </w:pPr>
            <w:r>
              <w:rPr>
                <w:sz w:val="18"/>
              </w:rPr>
              <w:t>4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  <w:jc w:val="right"/>
            </w:pPr>
            <w:r>
              <w:rPr>
                <w:sz w:val="18"/>
              </w:rPr>
              <w:t>0.072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right"/>
            </w:pPr>
            <w:r>
              <w:rPr>
                <w:sz w:val="18"/>
              </w:rPr>
              <w:t>0.227</w:t>
            </w:r>
          </w:p>
        </w:tc>
        <w:tc>
          <w:tcPr>
            <w:tcW w:type="dxa" w:w="1020"/>
            <w:vAlign w:val="center"/>
          </w:tcPr>
          <w:p>
            <w:pPr>
              <w:spacing w:after="0"/>
              <w:jc w:val="right"/>
            </w:pPr>
            <w:r>
              <w:rPr>
                <w:sz w:val="18"/>
              </w:rPr>
              <w:t>12.63</w:t>
            </w:r>
          </w:p>
        </w:tc>
        <w:tc>
          <w:tcPr>
            <w:tcW w:type="dxa" w:w="964"/>
            <w:vAlign w:val="center"/>
          </w:tcPr>
          <w:p>
            <w:pPr>
              <w:spacing w:after="0"/>
              <w:jc w:val="right"/>
            </w:pPr>
            <w:r>
              <w:rPr>
                <w:sz w:val="18"/>
              </w:rPr>
              <w:t>0.001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Functional pathways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Global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Compartment</w:t>
            </w:r>
          </w:p>
        </w:tc>
        <w:tc>
          <w:tcPr>
            <w:tcW w:type="dxa" w:w="737"/>
            <w:vAlign w:val="center"/>
          </w:tcPr>
          <w:p>
            <w:pPr>
              <w:spacing w:after="0"/>
              <w:jc w:val="right"/>
            </w:pPr>
            <w:r>
              <w:rPr>
                <w:sz w:val="18"/>
              </w:rPr>
              <w:t>1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  <w:jc w:val="right"/>
            </w:pPr>
            <w:r>
              <w:rPr>
                <w:sz w:val="18"/>
              </w:rPr>
              <w:t>0.115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right"/>
            </w:pPr>
            <w:r>
              <w:rPr>
                <w:sz w:val="18"/>
              </w:rPr>
              <w:t>0.363</w:t>
            </w:r>
          </w:p>
        </w:tc>
        <w:tc>
          <w:tcPr>
            <w:tcW w:type="dxa" w:w="1020"/>
            <w:vAlign w:val="center"/>
          </w:tcPr>
          <w:p>
            <w:pPr>
              <w:spacing w:after="0"/>
              <w:jc w:val="right"/>
            </w:pPr>
            <w:r>
              <w:rPr>
                <w:sz w:val="18"/>
              </w:rPr>
              <w:t>80.75</w:t>
            </w:r>
          </w:p>
        </w:tc>
        <w:tc>
          <w:tcPr>
            <w:tcW w:type="dxa" w:w="964"/>
            <w:vAlign w:val="center"/>
          </w:tcPr>
          <w:p>
            <w:pPr>
              <w:spacing w:after="0"/>
              <w:jc w:val="right"/>
            </w:pPr>
            <w:r>
              <w:rPr>
                <w:sz w:val="18"/>
              </w:rPr>
              <w:t>0.001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Functional pathways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Global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Inoculation</w:t>
            </w:r>
          </w:p>
        </w:tc>
        <w:tc>
          <w:tcPr>
            <w:tcW w:type="dxa" w:w="737"/>
            <w:vAlign w:val="center"/>
          </w:tcPr>
          <w:p>
            <w:pPr>
              <w:spacing w:after="0"/>
              <w:jc w:val="right"/>
            </w:pPr>
            <w:r>
              <w:rPr>
                <w:sz w:val="18"/>
              </w:rPr>
              <w:t>1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  <w:jc w:val="right"/>
            </w:pPr>
            <w:r>
              <w:rPr>
                <w:sz w:val="18"/>
              </w:rPr>
              <w:t>0.003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right"/>
            </w:pPr>
            <w:r>
              <w:rPr>
                <w:sz w:val="18"/>
              </w:rPr>
              <w:t>0.011</w:t>
            </w:r>
          </w:p>
        </w:tc>
        <w:tc>
          <w:tcPr>
            <w:tcW w:type="dxa" w:w="1020"/>
            <w:vAlign w:val="center"/>
          </w:tcPr>
          <w:p>
            <w:pPr>
              <w:spacing w:after="0"/>
              <w:jc w:val="right"/>
            </w:pPr>
            <w:r>
              <w:rPr>
                <w:sz w:val="18"/>
              </w:rPr>
              <w:t>2.44</w:t>
            </w:r>
          </w:p>
        </w:tc>
        <w:tc>
          <w:tcPr>
            <w:tcW w:type="dxa" w:w="964"/>
            <w:vAlign w:val="center"/>
          </w:tcPr>
          <w:p>
            <w:pPr>
              <w:spacing w:after="0"/>
              <w:jc w:val="right"/>
            </w:pPr>
            <w:r>
              <w:rPr>
                <w:sz w:val="18"/>
              </w:rPr>
              <w:t>0.034</w:t>
            </w:r>
          </w:p>
        </w:tc>
      </w:tr>
      <w:tr>
        <w:tc>
          <w:tcPr>
            <w:tcW w:type="dxa" w:w="2041"/>
            <w:vAlign w:val="center"/>
            <w:shd w:fill="F5F7F8"/>
          </w:tcPr>
          <w:p>
            <w:pPr>
              <w:spacing w:after="0"/>
              <w:jc w:val="left"/>
            </w:pPr>
            <w:r>
              <w:rPr>
                <w:sz w:val="18"/>
              </w:rPr>
              <w:t>Functional pathways</w:t>
            </w:r>
          </w:p>
        </w:tc>
        <w:tc>
          <w:tcPr>
            <w:tcW w:type="dxa" w:w="1701"/>
            <w:vAlign w:val="center"/>
            <w:shd w:fill="F5F7F8"/>
          </w:tcPr>
          <w:p>
            <w:pPr>
              <w:spacing w:after="0"/>
              <w:jc w:val="left"/>
            </w:pPr>
            <w:r>
              <w:rPr>
                <w:sz w:val="18"/>
              </w:rPr>
              <w:t>Interaction</w:t>
            </w:r>
          </w:p>
        </w:tc>
        <w:tc>
          <w:tcPr>
            <w:tcW w:type="dxa" w:w="3118"/>
            <w:vAlign w:val="center"/>
            <w:shd w:fill="F5F7F8"/>
          </w:tcPr>
          <w:p>
            <w:pPr>
              <w:spacing w:after="0"/>
              <w:jc w:val="left"/>
            </w:pPr>
            <w:r>
              <w:rPr>
                <w:sz w:val="18"/>
              </w:rPr>
              <w:t>Compartment × inoculation</w:t>
            </w:r>
          </w:p>
        </w:tc>
        <w:tc>
          <w:tcPr>
            <w:tcW w:type="dxa" w:w="737"/>
            <w:vAlign w:val="center"/>
            <w:shd w:fill="F5F7F8"/>
          </w:tcPr>
          <w:p>
            <w:pPr>
              <w:spacing w:after="0"/>
              <w:jc w:val="right"/>
            </w:pPr>
            <w:r>
              <w:rPr>
                <w:sz w:val="18"/>
              </w:rPr>
              <w:t>1</w:t>
            </w:r>
          </w:p>
        </w:tc>
        <w:tc>
          <w:tcPr>
            <w:tcW w:type="dxa" w:w="1134"/>
            <w:vAlign w:val="center"/>
            <w:shd w:fill="F5F7F8"/>
          </w:tcPr>
          <w:p>
            <w:pPr>
              <w:spacing w:after="0"/>
              <w:jc w:val="right"/>
            </w:pPr>
            <w:r>
              <w:rPr>
                <w:sz w:val="18"/>
              </w:rPr>
              <w:t>0.003</w:t>
            </w:r>
          </w:p>
        </w:tc>
        <w:tc>
          <w:tcPr>
            <w:tcW w:type="dxa" w:w="907"/>
            <w:vAlign w:val="center"/>
            <w:shd w:fill="F5F7F8"/>
          </w:tcPr>
          <w:p>
            <w:pPr>
              <w:spacing w:after="0"/>
              <w:jc w:val="right"/>
            </w:pPr>
            <w:r>
              <w:rPr>
                <w:sz w:val="18"/>
              </w:rPr>
              <w:t>0.009</w:t>
            </w:r>
          </w:p>
        </w:tc>
        <w:tc>
          <w:tcPr>
            <w:tcW w:type="dxa" w:w="1020"/>
            <w:vAlign w:val="center"/>
            <w:shd w:fill="F5F7F8"/>
          </w:tcPr>
          <w:p>
            <w:pPr>
              <w:spacing w:after="0"/>
              <w:jc w:val="right"/>
            </w:pPr>
            <w:r>
              <w:rPr>
                <w:sz w:val="18"/>
              </w:rPr>
              <w:t>2.01</w:t>
            </w:r>
          </w:p>
        </w:tc>
        <w:tc>
          <w:tcPr>
            <w:tcW w:type="dxa" w:w="964"/>
            <w:vAlign w:val="center"/>
            <w:shd w:fill="F5F7F8"/>
          </w:tcPr>
          <w:p>
            <w:pPr>
              <w:spacing w:after="0"/>
              <w:jc w:val="right"/>
            </w:pPr>
            <w:r>
              <w:rPr>
                <w:sz w:val="18"/>
              </w:rPr>
              <w:t>0.083</w:t>
            </w:r>
          </w:p>
        </w:tc>
      </w:tr>
    </w:tbl>
    <w:p>
      <w:pPr>
        <w:spacing w:before="180"/>
      </w:pPr>
      <w:r>
        <w:rPr>
          <w:b/>
        </w:rPr>
        <w:t xml:space="preserve">Notes. </w:t>
      </w:r>
      <w:r>
        <w:t>All analyses used Bray–Curtis dissimilarities, 96 samples and 999 permutations. The global marginal models included five geographic locations (Kowhai irrigated and rainfed pooled) and the terms Location + Compartment + Inoculation. The interaction models included six field environments (Kowhai irrigated and rainfed separate) and the terms Environment + Inoculation × Compartment, with permutations restricted within environment. Only the interaction term from those models is shown. Taxonomic distances were calculated from Hellinger-transformed genus proportions; functional distances from untransformed HUMAnN pathway CPM. R² values are model-specific marginal proportions and should not be added across the two model types. P values are permutation-based; the functional interaction did not reach P &lt; 0.05.</w:t>
      </w:r>
    </w:p>
    <w:sectPr w:rsidR="00FC693F" w:rsidRPr="0006063C" w:rsidSect="00034616">
      <w:pgSz w:w="16838" w:h="11906" w:orient="landscape"/>
      <w:pgMar w:top="1020" w:right="1191" w:bottom="1020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