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ferral-partnership-agreement"/>
    <w:p>
      <w:pPr>
        <w:pStyle w:val="Heading1"/>
      </w:pPr>
      <w:r>
        <w:t xml:space="preserve">Referral Partnership Agreement</w:t>
      </w:r>
    </w:p>
    <w:p>
      <w:pPr>
        <w:pStyle w:val="FirstParagraph"/>
      </w:pPr>
      <w:r>
        <w:rPr>
          <w:b/>
          <w:bCs/>
        </w:rPr>
        <w:t xml:space="preserve">Between:</w:t>
      </w:r>
    </w:p>
    <w:p>
      <w:pPr>
        <w:pStyle w:val="BodyText"/>
      </w:pPr>
      <w:r>
        <w:rPr>
          <w:b/>
          <w:bCs/>
        </w:rPr>
        <w:t xml:space="preserve">Hausio Ltd</w:t>
      </w:r>
      <w:r>
        <w:t xml:space="preserve"> </w:t>
      </w:r>
      <w:r>
        <w:t xml:space="preserve">(</w:t>
      </w:r>
      <w:r>
        <w:t xml:space="preserve">“Hausio”</w:t>
      </w:r>
      <w:r>
        <w:t xml:space="preserve">)</w:t>
      </w:r>
      <w:r>
        <w:t xml:space="preserve"> </w:t>
      </w:r>
      <w:r>
        <w:t xml:space="preserve">Registered office: London, United Kingdom</w:t>
      </w:r>
      <w:r>
        <w:t xml:space="preserve"> </w:t>
      </w:r>
      <w:r>
        <w:t xml:space="preserve">Email: hello@hausio.co.uk · Phone: +44 7304 330 614</w:t>
      </w:r>
    </w:p>
    <w:p>
      <w:pPr>
        <w:pStyle w:val="BodyText"/>
      </w:pPr>
      <w:r>
        <w:rPr>
          <w:b/>
          <w:bCs/>
        </w:rPr>
        <w:t xml:space="preserve">and</w:t>
      </w:r>
    </w:p>
    <w:p>
      <w:pPr>
        <w:pStyle w:val="BodyText"/>
      </w:pPr>
      <w:r>
        <w:rPr>
          <w:b/>
          <w:bCs/>
        </w:rPr>
        <w:t xml:space="preserve">{Partner Branch / Letting Agent}</w:t>
      </w:r>
      <w:r>
        <w:t xml:space="preserve"> </w:t>
      </w:r>
      <w:r>
        <w:t xml:space="preserve">(</w:t>
      </w:r>
      <w:r>
        <w:t xml:space="preserve">“Partner”</w:t>
      </w:r>
      <w:r>
        <w:t xml:space="preserve">)</w:t>
      </w:r>
      <w:r>
        <w:t xml:space="preserve"> </w:t>
      </w:r>
      <w:r>
        <w:t xml:space="preserve">Registered office: {address}</w:t>
      </w:r>
      <w:r>
        <w:t xml:space="preserve"> </w:t>
      </w:r>
      <w:r>
        <w:t xml:space="preserve">Branch contact: {name}, {role}</w:t>
      </w:r>
      <w:r>
        <w:t xml:space="preserve"> </w:t>
      </w:r>
      <w:r>
        <w:t xml:space="preserve">Email: {email} · Phone: {phone}</w:t>
      </w:r>
    </w:p>
    <w:p>
      <w:pPr>
        <w:pStyle w:val="BodyText"/>
      </w:pPr>
      <w:r>
        <w:rPr>
          <w:b/>
          <w:bCs/>
        </w:rPr>
        <w:t xml:space="preserve">Effective date:</w:t>
      </w:r>
      <w:r>
        <w:t xml:space="preserve"> </w:t>
      </w:r>
      <w:r>
        <w:t xml:space="preserve">{DD Month YYYY}</w:t>
      </w:r>
    </w:p>
    <w:p>
      <w:r>
        <w:pict>
          <v:rect style="width:0;height:1.5pt" o:hralign="center" o:hrstd="t" o:hr="t"/>
        </w:pict>
      </w:r>
    </w:p>
    <w:bookmarkStart w:id="9" w:name="purpose"/>
    <w:p>
      <w:pPr>
        <w:pStyle w:val="Heading2"/>
      </w:pPr>
      <w:r>
        <w:t xml:space="preserve">1. Purpose</w:t>
      </w:r>
    </w:p>
    <w:p>
      <w:pPr>
        <w:pStyle w:val="FirstParagraph"/>
      </w:pPr>
      <w:r>
        <w:t xml:space="preserve">This Agreement sets out the basis on which the Partner will refer end-of-tenancy cleaning, removals, handyman and related home services to Hausio’s customers, and on which Hausio will pay the Partner a commission for completed services delivered through those referrals.</w:t>
      </w:r>
    </w:p>
    <w:bookmarkEnd w:id="9"/>
    <w:bookmarkStart w:id="10" w:name="referral-mechanism"/>
    <w:p>
      <w:pPr>
        <w:pStyle w:val="Heading2"/>
      </w:pPr>
      <w:r>
        <w:t xml:space="preserve">2. Referral mechanism</w:t>
      </w:r>
    </w:p>
    <w:p>
      <w:pPr>
        <w:pStyle w:val="FirstParagraph"/>
      </w:pPr>
      <w:r>
        <w:t xml:space="preserve">2.1 Hausio will issue the Partner a unique referral code (the</w:t>
      </w:r>
      <w:r>
        <w:t xml:space="preserve"> </w:t>
      </w:r>
      <w:r>
        <w:t xml:space="preserve">“Referral Code”</w:t>
      </w:r>
      <w:r>
        <w:t xml:space="preserve">) in the form</w:t>
      </w:r>
      <w:r>
        <w:t xml:space="preserve"> </w:t>
      </w:r>
      <w:r>
        <w:rPr>
          <w:rStyle w:val="VerbatimChar"/>
        </w:rPr>
        <w:t xml:space="preserve">XXX-NNN</w:t>
      </w:r>
      <w:r>
        <w:t xml:space="preserve">, embedded in a tracking URL of the form</w:t>
      </w:r>
      <w:r>
        <w:t xml:space="preserve"> </w:t>
      </w:r>
      <w:r>
        <w:rPr>
          <w:rStyle w:val="VerbatimChar"/>
        </w:rPr>
        <w:t xml:space="preserve">hausio.co.uk/book?ref=XXX-NNN</w:t>
      </w:r>
      <w:r>
        <w:t xml:space="preserve">.</w:t>
      </w:r>
    </w:p>
    <w:p>
      <w:pPr>
        <w:pStyle w:val="BodyText"/>
      </w:pPr>
      <w:r>
        <w:t xml:space="preserve">2.2 A booking is attributable to the Partner (</w:t>
      </w:r>
      <w:r>
        <w:t xml:space="preserve">“Qualifying Referral”</w:t>
      </w:r>
      <w:r>
        <w:t xml:space="preserve">) if any of the following applies:</w:t>
      </w:r>
      <w:r>
        <w:t xml:space="preserve"> </w:t>
      </w:r>
      <w:r>
        <w:t xml:space="preserve">(a) the customer arrives at the Hausio booking flow via the tracking URL;</w:t>
      </w:r>
      <w:r>
        <w:t xml:space="preserve"> </w:t>
      </w:r>
      <w:r>
        <w:t xml:space="preserve">(b) the customer enters the Referral Code in the dedicated field at booking;</w:t>
      </w:r>
      <w:r>
        <w:t xml:space="preserve"> </w:t>
      </w:r>
      <w:r>
        <w:t xml:space="preserve">(c) the Partner books the service on the customer’s behalf using the Partner’s account.</w:t>
      </w:r>
    </w:p>
    <w:p>
      <w:pPr>
        <w:pStyle w:val="BodyText"/>
      </w:pPr>
      <w:r>
        <w:t xml:space="preserve">2.3 Bookings made by tenants without a Referral Code, even if they were referred orally by the Partner, are not Qualifying Referrals unless declared and confirmed in writing by both parties within 7 days of the booking.</w:t>
      </w:r>
    </w:p>
    <w:bookmarkEnd w:id="10"/>
    <w:bookmarkStart w:id="11" w:name="commission"/>
    <w:p>
      <w:pPr>
        <w:pStyle w:val="Heading2"/>
      </w:pPr>
      <w:r>
        <w:t xml:space="preserve">3. Commission</w:t>
      </w:r>
    </w:p>
    <w:p>
      <w:pPr>
        <w:pStyle w:val="FirstParagraph"/>
      </w:pPr>
      <w:r>
        <w:t xml:space="preserve">3.1 Hausio will pay the Partner a commission on the</w:t>
      </w:r>
      <w:r>
        <w:t xml:space="preserve"> </w:t>
      </w:r>
      <w:r>
        <w:rPr>
          <w:b/>
          <w:bCs/>
        </w:rPr>
        <w:t xml:space="preserve">net value</w:t>
      </w:r>
      <w:r>
        <w:t xml:space="preserve"> </w:t>
      </w:r>
      <w:r>
        <w:t xml:space="preserve">of every completed Qualifying Referral, calculated as:</w:t>
      </w:r>
      <w:r>
        <w:t xml:space="preserve"> </w:t>
      </w:r>
      <w:r>
        <w:rPr>
          <w:b/>
          <w:bCs/>
        </w:rPr>
        <w:t xml:space="preserve">gross invoice value, excluding VAT, minus any travel/access surcharges (e.g. Congestion Zone access charge)</w:t>
      </w:r>
      <w:r>
        <w:t xml:space="preserve">.</w:t>
      </w:r>
    </w:p>
    <w:p>
      <w:pPr>
        <w:pStyle w:val="BodyText"/>
      </w:pPr>
      <w:r>
        <w:t xml:space="preserve">3.2 The commission rate is determined by the Partner’s tier: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Volume threshold (rolling 30 days)</w:t>
            </w:r>
          </w:p>
        </w:tc>
        <w:tc>
          <w:tcPr/>
          <w:p>
            <w:pPr>
              <w:pStyle w:val="Compact"/>
            </w:pPr>
            <w:r>
              <w:t xml:space="preserve">Commission</w:t>
            </w:r>
          </w:p>
        </w:tc>
      </w:tr>
      <w:tr>
        <w:tc>
          <w:tcPr/>
          <w:p>
            <w:pPr>
              <w:pStyle w:val="Compact"/>
            </w:pPr>
            <w:r>
              <w:t xml:space="preserve">Standard</w:t>
            </w:r>
          </w:p>
        </w:tc>
        <w:tc>
          <w:tcPr/>
          <w:p>
            <w:pPr>
              <w:pStyle w:val="Compact"/>
            </w:pPr>
            <w:r>
              <w:t xml:space="preserve">Any volume</w:t>
            </w:r>
          </w:p>
        </w:tc>
        <w:tc>
          <w:tcPr/>
          <w:p>
            <w:pPr>
              <w:pStyle w:val="Compact"/>
            </w:pPr>
            <w:r>
              <w:t xml:space="preserve">20%</w:t>
            </w:r>
          </w:p>
        </w:tc>
      </w:tr>
      <w:tr>
        <w:tc>
          <w:tcPr/>
          <w:p>
            <w:pPr>
              <w:pStyle w:val="Compact"/>
            </w:pPr>
            <w:r>
              <w:t xml:space="preserve">Preferred</w:t>
            </w:r>
          </w:p>
        </w:tc>
        <w:tc>
          <w:tcPr/>
          <w:p>
            <w:pPr>
              <w:pStyle w:val="Compact"/>
            </w:pPr>
            <w:r>
              <w:t xml:space="preserve">30+ completed Qualifying Referrals</w:t>
            </w:r>
          </w:p>
        </w:tc>
        <w:tc>
          <w:tcPr/>
          <w:p>
            <w:pPr>
              <w:pStyle w:val="Compact"/>
            </w:pPr>
            <w:r>
              <w:t xml:space="preserve">22%</w:t>
            </w:r>
          </w:p>
        </w:tc>
      </w:tr>
      <w:tr>
        <w:tc>
          <w:tcPr/>
          <w:p>
            <w:pPr>
              <w:pStyle w:val="Compact"/>
            </w:pPr>
            <w:r>
              <w:t xml:space="preserve">Strategic</w:t>
            </w:r>
          </w:p>
        </w:tc>
        <w:tc>
          <w:tcPr/>
          <w:p>
            <w:pPr>
              <w:pStyle w:val="Compact"/>
            </w:pPr>
            <w:r>
              <w:t xml:space="preserve">100+ completed Qualifying Referrals</w:t>
            </w:r>
          </w:p>
        </w:tc>
        <w:tc>
          <w:tcPr/>
          <w:p>
            <w:pPr>
              <w:pStyle w:val="Compact"/>
            </w:pPr>
            <w:r>
              <w:t xml:space="preserve">25%</w:t>
            </w:r>
          </w:p>
        </w:tc>
      </w:tr>
    </w:tbl>
    <w:p>
      <w:pPr>
        <w:pStyle w:val="BodyText"/>
      </w:pPr>
      <w:r>
        <w:t xml:space="preserve">3.3 Tier upgrades take effect from the calendar month following the month in which the threshold is met. Downgrades apply from the calendar month following 60 days below threshold.</w:t>
      </w:r>
    </w:p>
    <w:p>
      <w:pPr>
        <w:pStyle w:val="BodyText"/>
      </w:pPr>
      <w:r>
        <w:t xml:space="preserve">3.4 Trial period: For the first 5 Qualifying Referrals, Hausio applies a</w:t>
      </w:r>
      <w:r>
        <w:t xml:space="preserve"> </w:t>
      </w:r>
      <w:r>
        <w:rPr>
          <w:b/>
          <w:bCs/>
        </w:rPr>
        <w:t xml:space="preserve">25% commission</w:t>
      </w:r>
      <w:r>
        <w:t xml:space="preserve"> </w:t>
      </w:r>
      <w:r>
        <w:t xml:space="preserve">as a trial enhancement, regardless of tier.</w:t>
      </w:r>
    </w:p>
    <w:bookmarkEnd w:id="11"/>
    <w:bookmarkStart w:id="12" w:name="payment"/>
    <w:p>
      <w:pPr>
        <w:pStyle w:val="Heading2"/>
      </w:pPr>
      <w:r>
        <w:t xml:space="preserve">4. Payment</w:t>
      </w:r>
    </w:p>
    <w:p>
      <w:pPr>
        <w:pStyle w:val="FirstParagraph"/>
      </w:pPr>
      <w:r>
        <w:t xml:space="preserve">4.1 Commission accrues on the date the service is completed and paid for by the customer.</w:t>
      </w:r>
    </w:p>
    <w:p>
      <w:pPr>
        <w:pStyle w:val="BodyText"/>
      </w:pPr>
      <w:r>
        <w:t xml:space="preserve">4.2 Hausio will issue a monthly statement and pay accrued commission via BACS by the</w:t>
      </w:r>
      <w:r>
        <w:t xml:space="preserve"> </w:t>
      </w:r>
      <w:r>
        <w:rPr>
          <w:b/>
          <w:bCs/>
        </w:rPr>
        <w:t xml:space="preserve">5th working day</w:t>
      </w:r>
      <w:r>
        <w:t xml:space="preserve"> </w:t>
      </w:r>
      <w:r>
        <w:t xml:space="preserve">of the following month, to the bank account nominated by the Partner.</w:t>
      </w:r>
    </w:p>
    <w:p>
      <w:pPr>
        <w:pStyle w:val="BodyText"/>
      </w:pPr>
      <w:r>
        <w:t xml:space="preserve">4.3 Commission is paid free of VAT unless the Partner is VAT-registered, in which case the Partner will issue a VAT invoice for each monthly payment.</w:t>
      </w:r>
    </w:p>
    <w:bookmarkEnd w:id="12"/>
    <w:bookmarkStart w:id="13" w:name="service-standards"/>
    <w:p>
      <w:pPr>
        <w:pStyle w:val="Heading2"/>
      </w:pPr>
      <w:r>
        <w:t xml:space="preserve">5. Service standards</w:t>
      </w:r>
    </w:p>
    <w:p>
      <w:pPr>
        <w:pStyle w:val="FirstParagraph"/>
      </w:pPr>
      <w:r>
        <w:t xml:space="preserve">5.1 Hausio commits to:</w:t>
      </w:r>
      <w:r>
        <w:t xml:space="preserve"> </w:t>
      </w:r>
      <w:r>
        <w:t xml:space="preserve">(a) DBS-checked, English-speaking professionals on every Qualifying Referral;</w:t>
      </w:r>
      <w:r>
        <w:t xml:space="preserve"> </w:t>
      </w:r>
      <w:r>
        <w:t xml:space="preserve">(b) £2 million public liability insurance and £25,000 goods-in-transit cover on every job;</w:t>
      </w:r>
      <w:r>
        <w:t xml:space="preserve"> </w:t>
      </w:r>
      <w:r>
        <w:t xml:space="preserve">(c) eco-friendly, EU Ecolabel cleaning products as standard;</w:t>
      </w:r>
      <w:r>
        <w:t xml:space="preserve"> </w:t>
      </w:r>
      <w:r>
        <w:t xml:space="preserve">(d) a free re-clean within 72 hours of completion if the Partner’s inventory clerk flags any cleaning issue;</w:t>
      </w:r>
      <w:r>
        <w:t xml:space="preserve"> </w:t>
      </w:r>
      <w:r>
        <w:t xml:space="preserve">(e) same-day availability in TfL Zones 1–3 (subject to capacity), next-day in Zones 4–6.</w:t>
      </w:r>
    </w:p>
    <w:p>
      <w:pPr>
        <w:pStyle w:val="BodyText"/>
      </w:pPr>
      <w:r>
        <w:t xml:space="preserve">5.2 The Partner commits to:</w:t>
      </w:r>
      <w:r>
        <w:t xml:space="preserve"> </w:t>
      </w:r>
      <w:r>
        <w:t xml:space="preserve">(a) referring genuine, in-progress tenancies;</w:t>
      </w:r>
      <w:r>
        <w:t xml:space="preserve"> </w:t>
      </w:r>
      <w:r>
        <w:t xml:space="preserve">(b) sharing relevant tenancy information (size, postcode, access requirements, deadline) accurately;</w:t>
      </w:r>
      <w:r>
        <w:t xml:space="preserve"> </w:t>
      </w:r>
      <w:r>
        <w:t xml:space="preserve">(c) not referring customers in active dispute with the Partner where the dispute relates to cleaning standards.</w:t>
      </w:r>
    </w:p>
    <w:bookmarkEnd w:id="13"/>
    <w:bookmarkStart w:id="14" w:name="branding-marketing"/>
    <w:p>
      <w:pPr>
        <w:pStyle w:val="Heading2"/>
      </w:pPr>
      <w:r>
        <w:t xml:space="preserve">6. Branding &amp; marketing</w:t>
      </w:r>
    </w:p>
    <w:p>
      <w:pPr>
        <w:pStyle w:val="FirstParagraph"/>
      </w:pPr>
      <w:r>
        <w:t xml:space="preserve">6.1 The Partner may state that Hausio is</w:t>
      </w:r>
      <w:r>
        <w:t xml:space="preserve"> </w:t>
      </w:r>
      <w:r>
        <w:t xml:space="preserve">“the home services provider for {Partner branch}”</w:t>
      </w:r>
      <w:r>
        <w:t xml:space="preserve"> </w:t>
      </w:r>
      <w:r>
        <w:t xml:space="preserve">and may use the Hausio logo on the Partner’s website, marketing material, and tenant communications.</w:t>
      </w:r>
    </w:p>
    <w:p>
      <w:pPr>
        <w:pStyle w:val="BodyText"/>
      </w:pPr>
      <w:r>
        <w:t xml:space="preserve">6.2 Hausio may state that {Partner branch} is</w:t>
      </w:r>
      <w:r>
        <w:t xml:space="preserve"> </w:t>
      </w:r>
      <w:r>
        <w:t xml:space="preserve">“a partner branch of Hausio”</w:t>
      </w:r>
      <w:r>
        <w:t xml:space="preserve"> </w:t>
      </w:r>
      <w:r>
        <w:t xml:space="preserve">and may include the Partner’s logo on Hausio’s partner page (subject to Partner approval).</w:t>
      </w:r>
    </w:p>
    <w:p>
      <w:pPr>
        <w:pStyle w:val="BodyText"/>
      </w:pPr>
      <w:r>
        <w:t xml:space="preserve">6.3 Neither party may make claims about the other beyond factual descriptions of the partnership without prior written consent.</w:t>
      </w:r>
    </w:p>
    <w:bookmarkEnd w:id="14"/>
    <w:bookmarkStart w:id="15" w:name="term-and-termination"/>
    <w:p>
      <w:pPr>
        <w:pStyle w:val="Heading2"/>
      </w:pPr>
      <w:r>
        <w:t xml:space="preserve">7. Term and termination</w:t>
      </w:r>
    </w:p>
    <w:p>
      <w:pPr>
        <w:pStyle w:val="FirstParagraph"/>
      </w:pPr>
      <w:r>
        <w:t xml:space="preserve">7.1 This Agreement starts on the Effective Date and continues until terminated.</w:t>
      </w:r>
    </w:p>
    <w:p>
      <w:pPr>
        <w:pStyle w:val="BodyText"/>
      </w:pPr>
      <w:r>
        <w:t xml:space="preserve">7.2 Either party may terminate this Agreement at any time, for any reason, by giving 30 days’ written notice via email.</w:t>
      </w:r>
    </w:p>
    <w:p>
      <w:pPr>
        <w:pStyle w:val="BodyText"/>
      </w:pPr>
      <w:r>
        <w:t xml:space="preserve">7.3 On termination:</w:t>
      </w:r>
      <w:r>
        <w:t xml:space="preserve"> </w:t>
      </w:r>
      <w:r>
        <w:t xml:space="preserve">(a) Qualifying Referrals booked before the termination date but completed after will still earn commission;</w:t>
      </w:r>
      <w:r>
        <w:t xml:space="preserve"> </w:t>
      </w:r>
      <w:r>
        <w:t xml:space="preserve">(b) the Partner ceases to use the Referral Code and any related branded material;</w:t>
      </w:r>
      <w:r>
        <w:t xml:space="preserve"> </w:t>
      </w:r>
      <w:r>
        <w:t xml:space="preserve">(c) Hausio settles the final commission statement within 30 days of the last completed referral.</w:t>
      </w:r>
    </w:p>
    <w:bookmarkEnd w:id="15"/>
    <w:bookmarkStart w:id="16" w:name="data-protection"/>
    <w:p>
      <w:pPr>
        <w:pStyle w:val="Heading2"/>
      </w:pPr>
      <w:r>
        <w:t xml:space="preserve">8. Data protection</w:t>
      </w:r>
    </w:p>
    <w:p>
      <w:pPr>
        <w:pStyle w:val="FirstParagraph"/>
      </w:pPr>
      <w:r>
        <w:t xml:space="preserve">8.1 Both parties act as separate data controllers in respect of customer personal data shared via the referral mechanism.</w:t>
      </w:r>
    </w:p>
    <w:p>
      <w:pPr>
        <w:pStyle w:val="BodyText"/>
      </w:pPr>
      <w:r>
        <w:t xml:space="preserve">8.2 Each party will comply with the UK GDPR and Data Protection Act 2018 in handling such data.</w:t>
      </w:r>
    </w:p>
    <w:p>
      <w:pPr>
        <w:pStyle w:val="BodyText"/>
      </w:pPr>
      <w:r>
        <w:t xml:space="preserve">8.3 Hausio’s privacy notice is published at hausio.co.uk/privacy.html.</w:t>
      </w:r>
    </w:p>
    <w:bookmarkEnd w:id="16"/>
    <w:bookmarkStart w:id="17" w:name="confidentiality"/>
    <w:p>
      <w:pPr>
        <w:pStyle w:val="Heading2"/>
      </w:pPr>
      <w:r>
        <w:t xml:space="preserve">9. Confidentiality</w:t>
      </w:r>
    </w:p>
    <w:p>
      <w:pPr>
        <w:pStyle w:val="FirstParagraph"/>
      </w:pPr>
      <w:r>
        <w:t xml:space="preserve">9.1 The commercial terms of this Agreement (commission rates, tier thresholds, volume data) are confidential and will not be disclosed to third parties without the other party’s written consent, except as required by law or to professional advisors bound by confidentiality.</w:t>
      </w:r>
    </w:p>
    <w:bookmarkEnd w:id="17"/>
    <w:bookmarkStart w:id="18" w:name="liability"/>
    <w:p>
      <w:pPr>
        <w:pStyle w:val="Heading2"/>
      </w:pPr>
      <w:r>
        <w:t xml:space="preserve">10. Liability</w:t>
      </w:r>
    </w:p>
    <w:p>
      <w:pPr>
        <w:pStyle w:val="FirstParagraph"/>
      </w:pPr>
      <w:r>
        <w:t xml:space="preserve">10.1 Hausio is liable to the customer (not the Partner) for service quality. The Partner is not liable for any acts or omissions of Hausio in the performance of services to customers.</w:t>
      </w:r>
    </w:p>
    <w:p>
      <w:pPr>
        <w:pStyle w:val="BodyText"/>
      </w:pPr>
      <w:r>
        <w:t xml:space="preserve">10.2 The Partner is not liable for any cancellation or no-show by a tenant referred to Hausio.</w:t>
      </w:r>
    </w:p>
    <w:p>
      <w:pPr>
        <w:pStyle w:val="BodyText"/>
      </w:pPr>
      <w:r>
        <w:t xml:space="preserve">10.3 Neither party is liable to the other for indirect, consequential or special losses.</w:t>
      </w:r>
    </w:p>
    <w:p>
      <w:pPr>
        <w:pStyle w:val="BodyText"/>
      </w:pPr>
      <w:r>
        <w:t xml:space="preserve">10.4 Each party’s total liability under this Agreement in any 12-month period is capped at the commission paid in the preceding 12 months.</w:t>
      </w:r>
    </w:p>
    <w:bookmarkEnd w:id="18"/>
    <w:bookmarkStart w:id="19" w:name="governing-law"/>
    <w:p>
      <w:pPr>
        <w:pStyle w:val="Heading2"/>
      </w:pPr>
      <w:r>
        <w:t xml:space="preserve">11. Governing law</w:t>
      </w:r>
    </w:p>
    <w:p>
      <w:pPr>
        <w:pStyle w:val="FirstParagraph"/>
      </w:pPr>
      <w:r>
        <w:t xml:space="preserve">11.1 This Agreement is governed by the laws of England and Wales, and the parties submit to the exclusive jurisdiction of the courts of England and Wales.</w:t>
      </w:r>
    </w:p>
    <w:p>
      <w:r>
        <w:pict>
          <v:rect style="width:0;height:1.5pt" o:hralign="center" o:hrstd="t" o:hr="t"/>
        </w:pict>
      </w:r>
    </w:p>
    <w:bookmarkEnd w:id="19"/>
    <w:bookmarkStart w:id="20" w:name="signatures"/>
    <w:p>
      <w:pPr>
        <w:pStyle w:val="Heading2"/>
      </w:pPr>
      <w:r>
        <w:t xml:space="preserve">Signatures</w:t>
      </w:r>
    </w:p>
    <w:p>
      <w:pPr>
        <w:pStyle w:val="FirstParagraph"/>
      </w:pPr>
      <w:r>
        <w:rPr>
          <w:b/>
          <w:bCs/>
        </w:rPr>
        <w:t xml:space="preserve">Hausio Ltd</w:t>
      </w:r>
    </w:p>
    <w:p>
      <w:pPr>
        <w:pStyle w:val="BodyText"/>
      </w:pPr>
      <w:r>
        <w:t xml:space="preserve">Signed: ____________________________</w:t>
      </w:r>
      <w:r>
        <w:t xml:space="preserve"> </w:t>
      </w:r>
      <w:r>
        <w:t xml:space="preserve">Name: Serhii Perepechaiev</w:t>
      </w:r>
      <w:r>
        <w:t xml:space="preserve"> </w:t>
      </w:r>
      <w:r>
        <w:t xml:space="preserve">Title: CMO</w:t>
      </w:r>
      <w:r>
        <w:t xml:space="preserve"> </w:t>
      </w:r>
      <w:r>
        <w:t xml:space="preserve">Date: ____________________________</w:t>
      </w:r>
    </w:p>
    <w:p>
      <w:pPr>
        <w:pStyle w:val="BodyText"/>
      </w:pPr>
      <w:r>
        <w:rPr>
          <w:b/>
          <w:bCs/>
        </w:rPr>
        <w:t xml:space="preserve">{Partner Branch}</w:t>
      </w:r>
    </w:p>
    <w:p>
      <w:pPr>
        <w:pStyle w:val="BodyText"/>
      </w:pPr>
      <w:r>
        <w:t xml:space="preserve">Signed: ____________________________</w:t>
      </w:r>
      <w:r>
        <w:t xml:space="preserve"> </w:t>
      </w:r>
      <w:r>
        <w:t xml:space="preserve">Name: ____________________________</w:t>
      </w:r>
      <w:r>
        <w:t xml:space="preserve"> </w:t>
      </w:r>
      <w:r>
        <w:t xml:space="preserve">Title: ____________________________</w:t>
      </w:r>
      <w:r>
        <w:t xml:space="preserve"> </w:t>
      </w:r>
      <w:r>
        <w:t xml:space="preserve">Date: ____________________________</w:t>
      </w:r>
    </w:p>
    <w:p>
      <w:r>
        <w:pict>
          <v:rect style="width:0;height:1.5pt" o:hralign="center" o:hrstd="t" o:hr="t"/>
        </w:pict>
      </w:r>
    </w:p>
    <w:p>
      <w:pPr>
        <w:pStyle w:val="FirstParagraph"/>
      </w:pPr>
      <w:r>
        <w:rPr>
          <w:i/>
          <w:iCs/>
        </w:rPr>
        <w:t xml:space="preserve">Template only — not legal advice. For the partnership at scale (Strategic tier or 100+ referrals/month) recommend a 30-minute review by a UK commercial-contracts solicitor before signing.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2026-04-29T13:04:02Z</dcterms:created>
  <dcterms:modified xsi:type="dcterms:W3CDTF">2026-04-29T13:04:02Z</dcterms:modified>
</cp:coreProperties>
</file>

<file path=docProps/custom.xml><?xml version="1.0" encoding="utf-8"?>
<Properties xmlns="http://schemas.openxmlformats.org/officeDocument/2006/custom-properties" xmlns:vt="http://schemas.openxmlformats.org/officeDocument/2006/docPropsVTypes"/>
</file>