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56"/>
          <w:szCs w:val="56"/>
        </w:rPr>
        <w:t xml:space="preserve">DOSSIER MAESTRO</w:t>
      </w:r>
    </w:p>
    <w:p>
      <w:pPr>
        <w:spacing w:before="200"/>
        <w:jc w:val="center"/>
      </w:pPr>
      <w:r>
        <w:rPr>
          <w:b/>
          <w:bCs/>
          <w:color w:val="2E5395"/>
          <w:sz w:val="32"/>
          <w:szCs w:val="32"/>
        </w:rPr>
        <w:t xml:space="preserve">Automatización de WhatsApp para Reclutamiento — RRHH</w:t>
      </w:r>
    </w:p>
    <w:p>
      <w:pPr>
        <w:spacing w:before="400"/>
        <w:jc w:val="center"/>
      </w:pPr>
      <w:r>
        <w:rPr>
          <w:i/>
          <w:iCs/>
          <w:color w:val="595959"/>
          <w:sz w:val="22"/>
          <w:szCs w:val="22"/>
        </w:rPr>
        <w:t xml:space="preserve">Diagnóstico del bloqueo de WhatsApp, alternativas evaluadas, reglas de negocio, flujo del proceso y hoja de ruta técnica</w:t>
      </w:r>
    </w:p>
    <w:p>
      <w:pPr>
        <w:spacing w:before="800"/>
        <w:jc w:val="center"/>
      </w:pPr>
      <w:r>
        <w:rPr>
          <w:color w:val="808080"/>
          <w:sz w:val="20"/>
          <w:szCs w:val="20"/>
        </w:rPr>
        <w:t xml:space="preserve">Área de Sistemas — Delta Inmobiliaria / Proyecto interno RRHH</w:t>
      </w:r>
    </w:p>
    <w:p>
      <w:pPr>
        <w:jc w:val="center"/>
      </w:pPr>
      <w:r>
        <w:rPr>
          <w:color w:val="808080"/>
          <w:sz w:val="20"/>
          <w:szCs w:val="20"/>
        </w:rPr>
        <w:t xml:space="preserve">Versión de trabajo — consolidado a partir de las sesiones de diseño</w:t>
      </w:r>
    </w:p>
    <w:p>
      <w:r>
        <w:br w:type="page"/>
      </w:r>
    </w:p>
    <w:p>
      <w:pPr>
        <w:pStyle w:val="Heading1"/>
        <w:spacing w:after="200" w:before="400"/>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Resumen ejecutivo</w:t>
      </w:r>
    </w:p>
    <w:p>
      <w:pPr>
        <w:spacing w:after="150"/>
      </w:pPr>
      <w:r>
        <w:t xml:space="preserve">El equipo de RRHH gestiona actualmente entre 13 analistas y 20 cuentas/clientes cerca de 16,000 interacciones mensuales por WhatsApp, usando WhatsApp normal y Business desde múltiples computadoras. Esto provoca bloqueos recurrentes de línea, hasta ahora resueltos de forma reactiva cambiando de número con el asesor comercial de Entel.</w:t>
      </w:r>
    </w:p>
    <w:p>
      <w:pPr>
        <w:spacing w:after="150"/>
      </w:pPr>
      <w:r>
        <w:t xml:space="preserve">El diagnóstico confirma que el bloqueo no es un problema de sistemas ni de líneas telefónicas: es consecuencia de usar una app pensada para un solo dispositivo desde varias PCs a la vez, con volumen alto de envíos — un uso fuera de los Términos de Servicio de Meta/WhatsApp.</w:t>
      </w:r>
    </w:p>
    <w:p>
      <w:pPr>
        <w:spacing w:after="150"/>
      </w:pPr>
      <w:r>
        <w:t xml:space="preserve">La solución de raíz es migrar a la WhatsApp Business API (oficial, multi-agente), evaluando dos caminos de implementación (rápido con proveedor BSP, o construcción propia), con un costo mensual estimado de US$ 100–300, muy por debajo de las cotizaciones iniciales de Zenvia y Twilio.</w:t>
      </w:r>
    </w:p>
    <w:p>
      <w:pPr>
        <w:spacing w:after="150"/>
      </w:pPr>
      <w:r>
        <w:t xml:space="preserve">Además del problema técnico, se definieron junto con la gerencia de RRHH 20 reglas de negocio, un flujo completo de atención (WhatsApp + bot + formulario de postulación + bandeja del analista) y un diseño preliminar de pantalla inspirado en herramientas del rubro (iVentas, Talkpush), listo para pasar a la etapa de diseño técnico (tablas de base de datos y desarrollo).</w:t>
      </w:r>
    </w:p>
    <w:p>
      <w:pPr>
        <w:pStyle w:val="Heading1"/>
        <w:spacing w:after="200" w:before="400"/>
      </w:pPr>
      <w:r>
        <w:t xml:space="preserve">2. Contexto y diagnóstico del problema</w:t>
      </w:r>
    </w:p>
    <w:p>
      <w:pPr>
        <w:pStyle w:val="Heading2"/>
        <w:spacing w:after="150" w:before="300"/>
      </w:pPr>
      <w:r>
        <w:t xml:space="preserve">2.1 Situación actual</w:t>
      </w:r>
    </w:p>
    <w:p>
      <w:pPr>
        <w:pStyle w:val="ListParagraph"/>
        <w:numPr>
          <w:ilvl w:val="0"/>
          <w:numId w:val="2"/>
        </w:numPr>
        <w:spacing w:after="80"/>
      </w:pPr>
      <w:r>
        <w:t xml:space="preserve">13 analistas de RRHH, distribuidos en ~20 cuentas/clientes (ej. Intradevco, Alicorp, Tubisa).</w:t>
      </w:r>
    </w:p>
    <w:p>
      <w:pPr>
        <w:pStyle w:val="ListParagraph"/>
        <w:numPr>
          <w:ilvl w:val="0"/>
          <w:numId w:val="2"/>
        </w:numPr>
        <w:spacing w:after="80"/>
      </w:pPr>
      <w:r>
        <w:t xml:space="preserve">Actualmente 2 analistas centralizan todas las convocatorias entrantes y las derivan manualmente a cada analista de cuenta (antes, cada analista manejaba su propia cartera y su propio WhatsApp).</w:t>
      </w:r>
    </w:p>
    <w:p>
      <w:pPr>
        <w:pStyle w:val="ListParagraph"/>
        <w:numPr>
          <w:ilvl w:val="0"/>
          <w:numId w:val="2"/>
        </w:numPr>
        <w:spacing w:after="80"/>
      </w:pPr>
      <w:r>
        <w:t xml:space="preserve">Uso de WhatsApp normal y WhatsApp Business desde varias computadoras con el mismo número.</w:t>
      </w:r>
    </w:p>
    <w:p>
      <w:pPr>
        <w:pStyle w:val="ListParagraph"/>
        <w:numPr>
          <w:ilvl w:val="0"/>
          <w:numId w:val="2"/>
        </w:numPr>
        <w:spacing w:after="80"/>
      </w:pPr>
      <w:r>
        <w:t xml:space="preserve">Volumen: cerca de 16,000 interacciones mensuales por WhatsApp.</w:t>
      </w:r>
    </w:p>
    <w:p>
      <w:pPr>
        <w:pStyle w:val="ListParagraph"/>
        <w:numPr>
          <w:ilvl w:val="0"/>
          <w:numId w:val="2"/>
        </w:numPr>
        <w:spacing w:after="80"/>
      </w:pPr>
      <w:r>
        <w:t xml:space="preserve">La empresa cuenta con página web oficial (GCA) y Facebook con verificación (check azul), lo que facilita la verificación en Meta Business Manager.</w:t>
      </w:r>
    </w:p>
    <w:p>
      <w:pPr>
        <w:pStyle w:val="Heading2"/>
        <w:spacing w:after="150" w:before="300"/>
      </w:pPr>
      <w:r>
        <w:t xml:space="preserve">2.2 Diagnóstico de causa raíz</w:t>
      </w:r>
    </w:p>
    <w:p>
      <w:pPr>
        <w:spacing w:after="150"/>
      </w:pPr>
      <w:r>
        <w:t xml:space="preserve">WhatsApp (normal y Business) está diseñado para operar desde un dispositivo principal. Cuando varias personas acceden desde distintas PCs vía WhatsApp Web con el mismo número, y además se envía un volumen alto de mensajes salientes, Meta detecta un comportamiento "no natural" (multi-sesión + volumen) y bloquea la línea.</w:t>
      </w:r>
    </w:p>
    <w:p>
      <w:pPr>
        <w:spacing w:after="150"/>
      </w:pPr>
      <w:r>
        <w:t xml:space="preserve">No es un tema de líneas, antenas ni de infraestructura de Sistemas — es un uso de la herramienta fuera de sus Términos de Servicio. Cambiar de número (la solución actual) retrasa el problema, no lo elimina.</w:t>
      </w:r>
    </w:p>
    <w:p>
      <w:pPr>
        <w:pStyle w:val="Heading2"/>
        <w:spacing w:after="150" w:before="300"/>
      </w:pPr>
      <w:r>
        <w:t xml:space="preserve">2.3 Por qué una central telefónica no resuelve esto</w:t>
      </w:r>
    </w:p>
    <w:p>
      <w:pPr>
        <w:spacing w:after="150"/>
      </w:pPr>
      <w:r>
        <w:t xml:space="preserve">Una central telefónica (PBX) resuelve llamadas, no bloqueos de WhatsApp. El bloqueo ocurre a nivel de cuenta de WhatsApp, no de línea telefónica.</w:t>
      </w:r>
    </w:p>
    <w:p>
      <w:pPr>
        <w:pStyle w:val="Heading2"/>
        <w:spacing w:after="150" w:before="300"/>
      </w:pPr>
      <w:r>
        <w:t xml:space="preserve">2.4 Por qué Meta bloquea cuentas de WhatsApp</w:t>
      </w:r>
    </w:p>
    <w:p>
      <w:pPr>
        <w:spacing w:after="150"/>
      </w:pPr>
      <w:r>
        <w:t xml:space="preserve">Meta no bloquea al azar: combina algoritmos y reportes de usuarios para medir señales de "comportamiento no natural" o de mala experiencia para quien recibe el mensaje. Las causas generales más frecuentes son:</w:t>
      </w:r>
    </w:p>
    <w:p>
      <w:pPr>
        <w:pStyle w:val="ListParagraph"/>
        <w:numPr>
          <w:ilvl w:val="0"/>
          <w:numId w:val="2"/>
        </w:numPr>
        <w:spacing w:after="80"/>
      </w:pPr>
      <w:r>
        <w:t xml:space="preserve">Uso simultáneo desde múltiples dispositivos/IPs con el mismo número: WhatsApp (normal y Business gratuito) está pensado para un dispositivo principal; varias sesiones activas a la vez suele activar alertas.</w:t>
      </w:r>
    </w:p>
    <w:p>
      <w:pPr>
        <w:pStyle w:val="ListParagraph"/>
        <w:numPr>
          <w:ilvl w:val="0"/>
          <w:numId w:val="2"/>
        </w:numPr>
        <w:spacing w:after="80"/>
      </w:pPr>
      <w:r>
        <w:t xml:space="preserve">Alta tasa de reportes o bloqueos por parte de los contactos: si muchos usuarios marcan los mensajes como spam o bloquean el número, Meta lo interpreta como comunicación no deseada.</w:t>
      </w:r>
    </w:p>
    <w:p>
      <w:pPr>
        <w:pStyle w:val="ListParagraph"/>
        <w:numPr>
          <w:ilvl w:val="0"/>
          <w:numId w:val="2"/>
        </w:numPr>
        <w:spacing w:after="80"/>
      </w:pPr>
      <w:r>
        <w:t xml:space="preserve">Mensajes a quien no dio consentimiento (opt-in): se considera que hay consentimiento cuando el contacto escribe primero; iniciar contacto con alguien que no escribió primero eleva el riesgo.</w:t>
      </w:r>
    </w:p>
    <w:p>
      <w:pPr>
        <w:pStyle w:val="ListParagraph"/>
        <w:numPr>
          <w:ilvl w:val="0"/>
          <w:numId w:val="2"/>
        </w:numPr>
        <w:spacing w:after="80"/>
      </w:pPr>
      <w:r>
        <w:t xml:space="preserve">Volumen o frecuencia alta de envío sin segmentación, por encima de los límites de la app estándar.</w:t>
      </w:r>
    </w:p>
    <w:p>
      <w:pPr>
        <w:pStyle w:val="ListParagraph"/>
        <w:numPr>
          <w:ilvl w:val="0"/>
          <w:numId w:val="2"/>
        </w:numPr>
        <w:spacing w:after="80"/>
      </w:pPr>
      <w:r>
        <w:t xml:space="preserve">Uso de apps no oficiales (WhatsApp Plus, GB WhatsApp) o de automatización no autorizada (bots caseros, extensiones, scripts).</w:t>
      </w:r>
    </w:p>
    <w:p>
      <w:pPr>
        <w:pStyle w:val="ListParagraph"/>
        <w:numPr>
          <w:ilvl w:val="0"/>
          <w:numId w:val="2"/>
        </w:numPr>
        <w:spacing w:after="80"/>
      </w:pPr>
      <w:r>
        <w:t xml:space="preserve">Contenido prohibido: enlaces sospechosos, phishing, contenido para adultos, discurso de odio, amenazas.</w:t>
      </w:r>
    </w:p>
    <w:p>
      <w:pPr>
        <w:pStyle w:val="ListParagraph"/>
        <w:numPr>
          <w:ilvl w:val="0"/>
          <w:numId w:val="2"/>
        </w:numPr>
        <w:spacing w:after="80"/>
      </w:pPr>
      <w:r>
        <w:t xml:space="preserve">Inactividad prolongada de la cuenta (alrededor de 4 meses sin uso).</w:t>
      </w:r>
    </w:p>
    <w:p>
      <w:pPr>
        <w:pStyle w:val="Heading3"/>
        <w:spacing w:after="100" w:before="200"/>
      </w:pPr>
      <w:r>
        <w:t xml:space="preserve">Aplicación al caso de los 13 analistas de RRHH</w:t>
      </w:r>
    </w:p>
    <w:p>
      <w:pPr>
        <w:spacing w:after="150"/>
      </w:pPr>
      <w:r>
        <w:t xml:space="preserve">Con el patrón de uso descrito (varias personas conectadas al mismo número desde distintas PCs, alto volumen mensual), los motivos más probables del bloqueo, en orden de peso, son:</w:t>
      </w:r>
    </w:p>
    <w:p>
      <w:pPr>
        <w:pStyle w:val="ListParagraph"/>
        <w:numPr>
          <w:ilvl w:val="0"/>
          <w:numId w:val="2"/>
        </w:numPr>
        <w:spacing w:after="80"/>
      </w:pPr>
      <w:r>
        <w:t xml:space="preserve">Multi-sesión sobre un mismo número: la causa técnica más directa — no es cuánto se escribe, sino cómo se accede a la cuenta (varios analistas o centralizadores usando WhatsApp Web con el mismo número).</w:t>
      </w:r>
    </w:p>
    <w:p>
      <w:pPr>
        <w:pStyle w:val="ListParagraph"/>
        <w:numPr>
          <w:ilvl w:val="0"/>
          <w:numId w:val="2"/>
        </w:numPr>
        <w:spacing w:after="80"/>
      </w:pPr>
      <w:r>
        <w:t xml:space="preserve">Mensajes salientes a quien no escribió primero: si en algún momento se contacta primero a un postulante (por ejemplo desde una base de CVs) en lugar de esperar a que él escriba desde un aviso, cuenta como mensaje sin opt-in.</w:t>
      </w:r>
    </w:p>
    <w:p>
      <w:pPr>
        <w:pStyle w:val="ListParagraph"/>
        <w:numPr>
          <w:ilvl w:val="0"/>
          <w:numId w:val="2"/>
        </w:numPr>
        <w:spacing w:after="80"/>
      </w:pPr>
      <w:r>
        <w:t xml:space="preserve">Reportes de postulantes: con ~16,000 interacciones/mes, basta que un pequeño porcentaje marque "spam" o bloquee el número para que el algoritmo lo detecte como señal negativa, aun cuando la intención del equipo sea legítima.</w:t>
      </w:r>
    </w:p>
    <w:p>
      <w:pPr>
        <w:spacing w:after="150"/>
      </w:pPr>
      <w:r>
        <w:t xml:space="preserve">La migración a la WhatsApp Business API oficial (Sección 3) ataca directamente estas tres causas: elimina la multi-sesión no oficial, obliga a operar con plantillas aprobadas por Meta, y separa el tráfico legítimo del que activa las alertas de spam.</w:t>
      </w:r>
    </w:p>
    <w:p>
      <w:pPr>
        <w:pStyle w:val="Heading1"/>
        <w:spacing w:after="200" w:before="400"/>
      </w:pPr>
      <w:r>
        <w:t xml:space="preserve">3. Alternativas de solución evaluadas</w:t>
      </w:r>
    </w:p>
    <w:p>
      <w:pPr>
        <w:pStyle w:val="Heading2"/>
        <w:spacing w:after="150" w:before="300"/>
      </w:pPr>
      <w:r>
        <w:t xml:space="preserve">3.1 La solución de raíz: WhatsApp Business API</w:t>
      </w:r>
    </w:p>
    <w:p>
      <w:pPr>
        <w:spacing w:after="150"/>
      </w:pPr>
      <w:r>
        <w:t xml:space="preserve">A diferencia de la app de WhatsApp Business, la API oficial permite que múltiples agentes trabajen desde el mismo número sin exponerlo a bloqueo, con funcionalidades empresariales avanzadas. Es la infraestructura pensada exactamente para este caso de uso.</w:t>
      </w:r>
    </w:p>
    <w:p>
      <w:pPr>
        <w:pStyle w:val="Heading2"/>
        <w:spacing w:after="150" w:before="300"/>
      </w:pPr>
      <w:r>
        <w:t xml:space="preserve">3.2 Proveedores evaluados</w:t>
      </w:r>
    </w:p>
    <w:p>
      <w:pPr>
        <w:pStyle w:val="ListParagraph"/>
        <w:numPr>
          <w:ilvl w:val="0"/>
          <w:numId w:val="2"/>
        </w:numPr>
        <w:spacing w:after="80"/>
      </w:pPr>
      <w:r>
        <w:t xml:space="preserve">Meta Cloud API directa: sin intermediario, se paga solo por conversación a Meta; incluye 1,000 conversaciones de servicio gratuitas al mes. Requiere desarrollo propio.</w:t>
      </w:r>
    </w:p>
    <w:p>
      <w:pPr>
        <w:pStyle w:val="ListParagraph"/>
        <w:numPr>
          <w:ilvl w:val="0"/>
          <w:numId w:val="2"/>
        </w:numPr>
        <w:spacing w:after="80"/>
      </w:pPr>
      <w:r>
        <w:t xml:space="preserve">CRMWhata: desde US$ 29/mes, con CRM y chatbot en español, sin desarrollo propio.</w:t>
      </w:r>
    </w:p>
    <w:p>
      <w:pPr>
        <w:pStyle w:val="ListParagraph"/>
        <w:numPr>
          <w:ilvl w:val="0"/>
          <w:numId w:val="2"/>
        </w:numPr>
        <w:spacing w:after="80"/>
      </w:pPr>
      <w:r>
        <w:t xml:space="preserve">360dialog: acceso directo a la API con precios transparentes, sin capas intermedias caras.</w:t>
      </w:r>
    </w:p>
    <w:p>
      <w:pPr>
        <w:pStyle w:val="ListParagraph"/>
        <w:numPr>
          <w:ilvl w:val="0"/>
          <w:numId w:val="2"/>
        </w:numPr>
        <w:spacing w:after="80"/>
      </w:pPr>
      <w:r>
        <w:t xml:space="preserve">Interakt: orientado a negocios que empiezan o escalan sin gastar demasiado.</w:t>
      </w:r>
    </w:p>
    <w:p>
      <w:pPr>
        <w:pStyle w:val="ListParagraph"/>
        <w:numPr>
          <w:ilvl w:val="0"/>
          <w:numId w:val="2"/>
        </w:numPr>
        <w:spacing w:after="80"/>
      </w:pPr>
      <w:r>
        <w:t xml:space="preserve">Zenvia / Twilio: cotizados inicialmente por RRHH, pero con costos elevados frente a las alternativas anteriores.</w:t>
      </w:r>
    </w:p>
    <w:p>
      <w:pPr>
        <w:pStyle w:val="Heading2"/>
        <w:spacing w:after="150" w:before="300"/>
      </w:pPr>
      <w:r>
        <w:t xml:space="preserve">3.3 Dos caminos de implementación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500"/>
      </w:tblGrid>
      <w:tr>
        <w:trPr>
          <w:tblHeader/>
        </w:trPr>
        <w:tc>
          <w:tcPr>
            <w:tcW w:type="dxa" w:w="1600"/>
            <w:shd w:fill="1F3864" w:val="clear"/>
          </w:tcPr>
          <w:p>
            <w:r>
              <w:rPr>
                <w:b/>
                <w:bCs/>
                <w:color w:val="FFFFFF"/>
              </w:rPr>
              <w:t xml:space="preserve">Camino</w:t>
            </w:r>
          </w:p>
        </w:tc>
        <w:tc>
          <w:tcPr>
            <w:tcW w:type="dxa" w:w="4400"/>
            <w:shd w:fill="1F3864" w:val="clear"/>
          </w:tcPr>
          <w:p>
            <w:r>
              <w:rPr>
                <w:b/>
                <w:bCs/>
                <w:color w:val="FFFFFF"/>
              </w:rPr>
              <w:t xml:space="preserve">Qué implica</w:t>
            </w:r>
          </w:p>
        </w:tc>
        <w:tc>
          <w:tcPr>
            <w:tcW w:type="dxa" w:w="3500"/>
            <w:shd w:fill="1F3864" w:val="clear"/>
          </w:tcPr>
          <w:p>
            <w:r>
              <w:rPr>
                <w:b/>
                <w:bCs/>
                <w:color w:val="FFFFFF"/>
              </w:rPr>
              <w:t xml:space="preserve">Tiempo estimado</w:t>
            </w:r>
          </w:p>
        </w:tc>
      </w:tr>
      <w:tr>
        <w:tc>
          <w:tcPr>
            <w:tcW w:type="dxa" w:w="1600"/>
            <w:shd w:fill="FFFFFF" w:val="clear"/>
          </w:tcPr>
          <w:p>
            <w:r>
              <w:rPr>
                <w:b/>
                <w:bCs/>
              </w:rPr>
              <w:t xml:space="preserve">Camino A — BSP con bandeja lista</w:t>
            </w:r>
          </w:p>
        </w:tc>
        <w:tc>
          <w:tcPr>
            <w:tcW w:type="dxa" w:w="4400"/>
            <w:shd w:fill="FFFFFF" w:val="clear"/>
          </w:tcPr>
          <w:p>
            <w:r>
              <w:rPr>
                <w:b w:val="false"/>
                <w:bCs w:val="false"/>
              </w:rPr>
              <w:t xml:space="preserve">Contratar CRMWhata, Interakt o 360dialog + frontend ya armado. Configurar reglas de asignación por cliente/cuenta. Cero desarrollo propio.</w:t>
            </w:r>
          </w:p>
        </w:tc>
        <w:tc>
          <w:tcPr>
            <w:tcW w:type="dxa" w:w="3500"/>
            <w:shd w:fill="FFFFFF" w:val="clear"/>
          </w:tcPr>
          <w:p>
            <w:r>
              <w:rPr>
                <w:b w:val="false"/>
                <w:bCs w:val="false"/>
              </w:rPr>
              <w:t xml:space="preserve">1–2 semanas (mayoría es espera de aprobación de Meta)</w:t>
            </w:r>
          </w:p>
        </w:tc>
      </w:tr>
      <w:tr>
        <w:tc>
          <w:tcPr>
            <w:tcW w:type="dxa" w:w="1600"/>
            <w:shd w:fill="F2F2F2" w:val="clear"/>
          </w:tcPr>
          <w:p>
            <w:r>
              <w:rPr>
                <w:b/>
                <w:bCs/>
              </w:rPr>
              <w:t xml:space="preserve">Camino B — Custom</w:t>
            </w:r>
          </w:p>
        </w:tc>
        <w:tc>
          <w:tcPr>
            <w:tcW w:type="dxa" w:w="4400"/>
            <w:shd w:fill="F2F2F2" w:val="clear"/>
          </w:tcPr>
          <w:p>
            <w:r>
              <w:rPr>
                <w:b w:val="false"/>
                <w:bCs w:val="false"/>
              </w:rPr>
              <w:t xml:space="preserve">Meta Cloud API directa + app interna construida a medida: backend, base de datos, motor de reglas, bandeja para los 13 analistas.</w:t>
            </w:r>
          </w:p>
        </w:tc>
        <w:tc>
          <w:tcPr>
            <w:tcW w:type="dxa" w:w="3500"/>
            <w:shd w:fill="F2F2F2" w:val="clear"/>
          </w:tcPr>
          <w:p>
            <w:r>
              <w:rPr>
                <w:b w:val="false"/>
                <w:bCs w:val="false"/>
              </w:rPr>
              <w:t xml:space="preserve">4–8 semanas (o 2.5–4 semanas dedicándose full-time con apoyo de Claude Code)</w:t>
            </w:r>
          </w:p>
        </w:tc>
      </w:tr>
    </w:tbl>
    <w:p>
      <w:pPr>
        <w:spacing w:after="150"/>
      </w:pPr>
    </w:p>
    <w:p>
      <w:pPr>
        <w:spacing w:after="150"/>
      </w:pPr>
      <w:r>
        <w:t xml:space="preserve">Recomendación: dado el volumen de trabajo en paralelo (16,000 interacciones/mes, 13 analistas, 20 cuentas), el Camino A resuelve el bloqueo de forma rápida y económica; el Camino B (construcción propia) se justifica si más adelante se busca integración directa con sistemas internos propios.</w:t>
      </w:r>
    </w:p>
    <w:p>
      <w:pPr>
        <w:pStyle w:val="Heading2"/>
        <w:spacing w:after="150" w:before="300"/>
      </w:pPr>
      <w:r>
        <w:t xml:space="preserve">3.4 Referencia de mercado: iVentas / 360dialog</w:t>
      </w:r>
    </w:p>
    <w:p>
      <w:pPr>
        <w:spacing w:after="150"/>
      </w:pPr>
      <w:r>
        <w:t xml:space="preserve">iVentas es un CRM para WhatsApp (multiagente, con chatbot, etiquetas, notas, reasignación de conversaciones y mensajería masiva), construido sobre un proveedor BSP como 360dialog. Es exactamente el tipo de capa que se puede construir a medida sobre el API, pagando solo el acceso al API y no el servicio completo. Sus funcionalidades clave (bandeja unificada, etiquetas, reasignación, plantillas, tableros tipo kanban y reportes de tiempos de respuesta) fueron incorporadas como referencia de diseño en este dossier.</w:t>
      </w:r>
    </w:p>
    <w:p>
      <w:pPr>
        <w:spacing w:after="150"/>
      </w:pPr>
      <w:r>
        <w:t xml:space="preserve">También se revisó Talkpush, un CRM de reclutamiento especializado en procesos masivos por WhatsApp, cuyas recomendaciones (usar siempre línea empresarial verificada, chatbot para alto volumen) confirman que el diseño de este proyecto va alineado con las prácticas del rubro.</w:t>
      </w:r>
    </w:p>
    <w:p>
      <w:pPr>
        <w:pStyle w:val="Heading1"/>
        <w:spacing w:after="200" w:before="400"/>
      </w:pPr>
      <w:r>
        <w:t xml:space="preserve">4. Estimación de costos</w:t>
      </w:r>
    </w:p>
    <w:p>
      <w:pPr>
        <w:spacing w:after="150"/>
      </w:pPr>
      <w:r>
        <w:t xml:space="preserve">Los 16,000 registros mensuales corresponden a mensajes, no necesariamente a conversaciones nuevas (Meta cobra por conversación de 24h, no por mensaje individual). Como el uso de RRHH es mayormente de tipo Utilidad (avisos y convocatorias) y no Marketing, el costo por conversación es más bajo.</w:t>
      </w:r>
    </w:p>
    <w:p>
      <w:pPr>
        <w:pStyle w:val="Heading3"/>
        <w:spacing w:after="100" w:before="200"/>
      </w:pPr>
      <w:r>
        <w:t xml:space="preserve">Tarifas de referencia (Meta, Perú, 2026)</w:t>
      </w:r>
    </w:p>
    <w:p>
      <w:pPr>
        <w:pStyle w:val="ListParagraph"/>
        <w:numPr>
          <w:ilvl w:val="0"/>
          <w:numId w:val="2"/>
        </w:numPr>
        <w:spacing w:after="80"/>
      </w:pPr>
      <w:r>
        <w:t xml:space="preserve">Utilidad (avisos, confirmaciones, convocatorias): ≈ US$ 0.0127 por mensaje/plantilla.</w:t>
      </w:r>
    </w:p>
    <w:p>
      <w:pPr>
        <w:pStyle w:val="ListParagraph"/>
        <w:numPr>
          <w:ilvl w:val="0"/>
          <w:numId w:val="2"/>
        </w:numPr>
        <w:spacing w:after="80"/>
      </w:pPr>
      <w:r>
        <w:t xml:space="preserve">Marketing: ≈ US$ 0.0447 por mensaje/plantilla.</w:t>
      </w:r>
    </w:p>
    <w:p>
      <w:pPr>
        <w:pStyle w:val="ListParagraph"/>
        <w:numPr>
          <w:ilvl w:val="0"/>
          <w:numId w:val="2"/>
        </w:numPr>
        <w:spacing w:after="80"/>
      </w:pPr>
      <w:r>
        <w:t xml:space="preserve">Servicio (el postulante escribe primero, se responde dentro de 24h): gratis.</w:t>
      </w:r>
    </w:p>
    <w:p>
      <w:pPr>
        <w:spacing w:after="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3000"/>
        <w:gridCol w:w="2000"/>
      </w:tblGrid>
      <w:tr>
        <w:trPr>
          <w:tblHeader/>
        </w:trPr>
        <w:tc>
          <w:tcPr>
            <w:tcW w:type="dxa" w:w="4500"/>
            <w:shd w:fill="1F3864" w:val="clear"/>
          </w:tcPr>
          <w:p>
            <w:r>
              <w:rPr>
                <w:b/>
                <w:bCs/>
                <w:color w:val="FFFFFF"/>
              </w:rPr>
              <w:t xml:space="preserve">Concepto</w:t>
            </w:r>
          </w:p>
        </w:tc>
        <w:tc>
          <w:tcPr>
            <w:tcW w:type="dxa" w:w="3000"/>
            <w:shd w:fill="1F3864" w:val="clear"/>
          </w:tcPr>
          <w:p>
            <w:r>
              <w:rPr>
                <w:b/>
                <w:bCs/>
                <w:color w:val="FFFFFF"/>
              </w:rPr>
              <w:t xml:space="preserve">Cálculo</w:t>
            </w:r>
          </w:p>
        </w:tc>
        <w:tc>
          <w:tcPr>
            <w:tcW w:type="dxa" w:w="2000"/>
            <w:shd w:fill="1F3864" w:val="clear"/>
          </w:tcPr>
          <w:p>
            <w:r>
              <w:rPr>
                <w:b/>
                <w:bCs/>
                <w:color w:val="FFFFFF"/>
              </w:rPr>
              <w:t xml:space="preserve">Costo estimado</w:t>
            </w:r>
          </w:p>
        </w:tc>
      </w:tr>
      <w:tr>
        <w:tc>
          <w:tcPr>
            <w:tcW w:type="dxa" w:w="4500"/>
            <w:shd w:fill="FFFFFF" w:val="clear"/>
          </w:tcPr>
          <w:p>
            <w:r>
              <w:rPr>
                <w:b w:val="false"/>
                <w:bCs w:val="false"/>
              </w:rPr>
              <w:t xml:space="preserve">Meta – Utilidad (16,000 conversaciones nuevas)</w:t>
            </w:r>
          </w:p>
        </w:tc>
        <w:tc>
          <w:tcPr>
            <w:tcW w:type="dxa" w:w="3000"/>
            <w:shd w:fill="FFFFFF" w:val="clear"/>
          </w:tcPr>
          <w:p>
            <w:r>
              <w:rPr>
                <w:b w:val="false"/>
                <w:bCs w:val="false"/>
              </w:rPr>
              <w:t xml:space="preserve">16,000 × US$ 0.0127</w:t>
            </w:r>
          </w:p>
        </w:tc>
        <w:tc>
          <w:tcPr>
            <w:tcW w:type="dxa" w:w="2000"/>
            <w:shd w:fill="FFFFFF" w:val="clear"/>
          </w:tcPr>
          <w:p>
            <w:r>
              <w:rPr>
                <w:b/>
                <w:bCs/>
              </w:rPr>
              <w:t xml:space="preserve">≈ US$ 203/mes</w:t>
            </w:r>
          </w:p>
        </w:tc>
      </w:tr>
      <w:tr>
        <w:tc>
          <w:tcPr>
            <w:tcW w:type="dxa" w:w="4500"/>
            <w:shd w:fill="F2F2F2" w:val="clear"/>
          </w:tcPr>
          <w:p>
            <w:r>
              <w:rPr>
                <w:b w:val="false"/>
                <w:bCs w:val="false"/>
              </w:rPr>
              <w:t xml:space="preserve">Meta – estimación realista (4,000–6,000 conversaciones reales)</w:t>
            </w:r>
          </w:p>
        </w:tc>
        <w:tc>
          <w:tcPr>
            <w:tcW w:type="dxa" w:w="3000"/>
            <w:shd w:fill="F2F2F2" w:val="clear"/>
          </w:tcPr>
          <w:p>
            <w:r>
              <w:rPr>
                <w:b w:val="false"/>
                <w:bCs w:val="false"/>
              </w:rPr>
              <w:t xml:space="preserve">según ventana de 24h</w:t>
            </w:r>
          </w:p>
        </w:tc>
        <w:tc>
          <w:tcPr>
            <w:tcW w:type="dxa" w:w="2000"/>
            <w:shd w:fill="F2F2F2" w:val="clear"/>
          </w:tcPr>
          <w:p>
            <w:r>
              <w:rPr>
                <w:b/>
                <w:bCs/>
              </w:rPr>
              <w:t xml:space="preserve">≈ US$ 50–80/mes</w:t>
            </w:r>
          </w:p>
        </w:tc>
      </w:tr>
      <w:tr>
        <w:tc>
          <w:tcPr>
            <w:tcW w:type="dxa" w:w="4500"/>
            <w:shd w:fill="FFFFFF" w:val="clear"/>
          </w:tcPr>
          <w:p>
            <w:r>
              <w:rPr>
                <w:b w:val="false"/>
                <w:bCs w:val="false"/>
              </w:rPr>
              <w:t xml:space="preserve">Meta – peor caso, todo Marketing</w:t>
            </w:r>
          </w:p>
        </w:tc>
        <w:tc>
          <w:tcPr>
            <w:tcW w:type="dxa" w:w="3000"/>
            <w:shd w:fill="FFFFFF" w:val="clear"/>
          </w:tcPr>
          <w:p>
            <w:r>
              <w:rPr>
                <w:b w:val="false"/>
                <w:bCs w:val="false"/>
              </w:rPr>
              <w:t xml:space="preserve">16,000 × US$ 0.0447</w:t>
            </w:r>
          </w:p>
        </w:tc>
        <w:tc>
          <w:tcPr>
            <w:tcW w:type="dxa" w:w="2000"/>
            <w:shd w:fill="FFFFFF" w:val="clear"/>
          </w:tcPr>
          <w:p>
            <w:r>
              <w:rPr>
                <w:b/>
                <w:bCs/>
              </w:rPr>
              <w:t xml:space="preserve">≈ US$ 715/mes</w:t>
            </w:r>
          </w:p>
        </w:tc>
      </w:tr>
      <w:tr>
        <w:tc>
          <w:tcPr>
            <w:tcW w:type="dxa" w:w="4500"/>
            <w:shd w:fill="F2F2F2" w:val="clear"/>
          </w:tcPr>
          <w:p>
            <w:r>
              <w:rPr>
                <w:b w:val="false"/>
                <w:bCs w:val="false"/>
              </w:rPr>
              <w:t xml:space="preserve">Plataforma / BSP (CRMWhata, 360dialog, Interakt)</w:t>
            </w:r>
          </w:p>
        </w:tc>
        <w:tc>
          <w:tcPr>
            <w:tcW w:type="dxa" w:w="3000"/>
            <w:shd w:fill="F2F2F2" w:val="clear"/>
          </w:tcPr>
          <w:p>
            <w:r>
              <w:rPr>
                <w:b w:val="false"/>
                <w:bCs w:val="false"/>
              </w:rPr>
              <w:t xml:space="preserve">cuota fija + por agente</w:t>
            </w:r>
          </w:p>
        </w:tc>
        <w:tc>
          <w:tcPr>
            <w:tcW w:type="dxa" w:w="2000"/>
            <w:shd w:fill="F2F2F2" w:val="clear"/>
          </w:tcPr>
          <w:p>
            <w:r>
              <w:rPr>
                <w:b/>
                <w:bCs/>
              </w:rPr>
              <w:t xml:space="preserve">≈ US$ 29–100/mes</w:t>
            </w:r>
          </w:p>
        </w:tc>
      </w:tr>
      <w:tr>
        <w:tc>
          <w:tcPr>
            <w:tcW w:type="dxa" w:w="4500"/>
            <w:shd w:fill="FFFFFF" w:val="clear"/>
          </w:tcPr>
          <w:p>
            <w:r>
              <w:rPr>
                <w:b w:val="false"/>
                <w:bCs w:val="false"/>
              </w:rPr>
              <w:t xml:space="preserve">Estimado total realista de operación</w:t>
            </w:r>
          </w:p>
        </w:tc>
        <w:tc>
          <w:tcPr>
            <w:tcW w:type="dxa" w:w="3000"/>
            <w:shd w:fill="FFFFFF" w:val="clear"/>
          </w:tcPr>
          <w:p>
            <w:r>
              <w:rPr>
                <w:b w:val="false"/>
                <w:bCs w:val="false"/>
              </w:rPr>
              <w:t xml:space="preserve">Meta + plataforma</w:t>
            </w:r>
          </w:p>
        </w:tc>
        <w:tc>
          <w:tcPr>
            <w:tcW w:type="dxa" w:w="2000"/>
            <w:shd w:fill="FFFFFF" w:val="clear"/>
          </w:tcPr>
          <w:p>
            <w:r>
              <w:rPr>
                <w:b/>
                <w:bCs/>
              </w:rPr>
              <w:t xml:space="preserve">US$ 100–300/mes</w:t>
            </w:r>
          </w:p>
        </w:tc>
      </w:tr>
    </w:tbl>
    <w:p>
      <w:pPr>
        <w:spacing w:after="150"/>
      </w:pPr>
    </w:p>
    <w:p>
      <w:pPr>
        <w:spacing w:after="150"/>
      </w:pPr>
      <w:r>
        <w:t xml:space="preserve">Siguiente acción sugerida: solicitar cotización formal a 2 proveedores (por ejemplo CRMWhata y 360dialog) indicando: 13 agentes, ~20 cuentas, tipo de mensaje (utilidad, no marketing) y que el Meta Business Manager ya está verificado.</w:t>
      </w:r>
    </w:p>
    <w:p>
      <w:pPr>
        <w:pStyle w:val="Heading1"/>
        <w:spacing w:after="200" w:before="400"/>
      </w:pPr>
      <w:r>
        <w:t xml:space="preserve">5. Reglas de negocio</w:t>
      </w:r>
    </w:p>
    <w:p>
      <w:pPr>
        <w:spacing w:after="150"/>
      </w:pPr>
      <w:r>
        <w:t xml:space="preserve">Definidas junto con la gerencia de RRHH, a partir del diagnóstico del proceso actual y de la revisión de herramientas de referencia del mercado (iVentas, Talkpush). Cubren asignación, escalamiento, visibilidad, identificación del postulante, y el flujo combinado WhatsApp + formulario de postulación (JobForms).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000"/>
      </w:tblGrid>
      <w:tr>
        <w:trPr>
          <w:tblHeader/>
        </w:trPr>
        <w:tc>
          <w:tcPr>
            <w:tcW w:type="dxa" w:w="900"/>
            <w:shd w:fill="1F3864" w:val="clear"/>
          </w:tcPr>
          <w:p>
            <w:r>
              <w:rPr>
                <w:b/>
                <w:bCs/>
                <w:color w:val="FFFFFF"/>
              </w:rPr>
              <w:t xml:space="preserve">#</w:t>
            </w:r>
          </w:p>
        </w:tc>
        <w:tc>
          <w:tcPr>
            <w:tcW w:type="dxa" w:w="2600"/>
            <w:shd w:fill="1F3864" w:val="clear"/>
          </w:tcPr>
          <w:p>
            <w:r>
              <w:rPr>
                <w:b/>
                <w:bCs/>
                <w:color w:val="FFFFFF"/>
              </w:rPr>
              <w:t xml:space="preserve">Regla</w:t>
            </w:r>
          </w:p>
        </w:tc>
        <w:tc>
          <w:tcPr>
            <w:tcW w:type="dxa" w:w="6000"/>
            <w:shd w:fill="1F3864" w:val="clear"/>
          </w:tcPr>
          <w:p>
            <w:r>
              <w:rPr>
                <w:b/>
                <w:bCs/>
                <w:color w:val="FFFFFF"/>
              </w:rPr>
              <w:t xml:space="preserve">Definición</w:t>
            </w:r>
          </w:p>
        </w:tc>
      </w:tr>
      <w:tr>
        <w:tc>
          <w:tcPr>
            <w:tcW w:type="dxa" w:w="900"/>
            <w:shd w:fill="FFFFFF" w:val="clear"/>
          </w:tcPr>
          <w:p>
            <w:r>
              <w:rPr>
                <w:b w:val="false"/>
                <w:bCs w:val="false"/>
              </w:rPr>
              <w:t xml:space="preserve">1</w:t>
            </w:r>
          </w:p>
        </w:tc>
        <w:tc>
          <w:tcPr>
            <w:tcW w:type="dxa" w:w="2600"/>
            <w:shd w:fill="FFFFFF" w:val="clear"/>
          </w:tcPr>
          <w:p>
            <w:r>
              <w:rPr>
                <w:b/>
                <w:bCs/>
              </w:rPr>
              <w:t xml:space="preserve">Asignación</w:t>
            </w:r>
          </w:p>
        </w:tc>
        <w:tc>
          <w:tcPr>
            <w:tcW w:type="dxa" w:w="6000"/>
            <w:shd w:fill="FFFFFF" w:val="clear"/>
          </w:tcPr>
          <w:p>
            <w:r>
              <w:rPr>
                <w:b w:val="false"/>
                <w:bCs w:val="false"/>
              </w:rPr>
              <w:t xml:space="preserve">Tabla fija Cuenta/Cliente → Analista responsable. Un analista puede tener una o varias cuentas asignadas; la información de cada cuenta se organiza en su propia subdivisión dentro del espacio del analista. Cuando llega un mensaje nuevo, el sistema identifica a qué cuenta pertenece y lo enruta automáticamente.</w:t>
            </w:r>
          </w:p>
        </w:tc>
      </w:tr>
      <w:tr>
        <w:tc>
          <w:tcPr>
            <w:tcW w:type="dxa" w:w="900"/>
            <w:shd w:fill="F2F2F2" w:val="clear"/>
          </w:tcPr>
          <w:p>
            <w:r>
              <w:rPr>
                <w:b w:val="false"/>
                <w:bCs w:val="false"/>
              </w:rPr>
              <w:t xml:space="preserve">2</w:t>
            </w:r>
          </w:p>
        </w:tc>
        <w:tc>
          <w:tcPr>
            <w:tcW w:type="dxa" w:w="2600"/>
            <w:shd w:fill="F2F2F2" w:val="clear"/>
          </w:tcPr>
          <w:p>
            <w:r>
              <w:rPr>
                <w:b/>
                <w:bCs/>
              </w:rPr>
              <w:t xml:space="preserve">Escalamiento por inactividad</w:t>
            </w:r>
          </w:p>
        </w:tc>
        <w:tc>
          <w:tcPr>
            <w:tcW w:type="dxa" w:w="6000"/>
            <w:shd w:fill="F2F2F2" w:val="clear"/>
          </w:tcPr>
          <w:p>
            <w:r>
              <w:rPr>
                <w:b w:val="false"/>
                <w:bCs w:val="false"/>
              </w:rPr>
              <w:t xml:space="preserve">Si el analista dueño de la cuenta no responde en 2 horas, la conversación pasa automáticamente a un analista de respaldo fijo predefinido por cuenta (no aleatorio).</w:t>
            </w:r>
          </w:p>
        </w:tc>
      </w:tr>
      <w:tr>
        <w:tc>
          <w:tcPr>
            <w:tcW w:type="dxa" w:w="900"/>
            <w:shd w:fill="FFFFFF" w:val="clear"/>
          </w:tcPr>
          <w:p>
            <w:r>
              <w:rPr>
                <w:b w:val="false"/>
                <w:bCs w:val="false"/>
              </w:rPr>
              <w:t xml:space="preserve">3</w:t>
            </w:r>
          </w:p>
        </w:tc>
        <w:tc>
          <w:tcPr>
            <w:tcW w:type="dxa" w:w="2600"/>
            <w:shd w:fill="FFFFFF" w:val="clear"/>
          </w:tcPr>
          <w:p>
            <w:r>
              <w:rPr>
                <w:b/>
                <w:bCs/>
              </w:rPr>
              <w:t xml:space="preserve">Fuera de horario</w:t>
            </w:r>
          </w:p>
        </w:tc>
        <w:tc>
          <w:tcPr>
            <w:tcW w:type="dxa" w:w="6000"/>
            <w:shd w:fill="FFFFFF" w:val="clear"/>
          </w:tcPr>
          <w:p>
            <w:r>
              <w:rPr>
                <w:b w:val="false"/>
                <w:bCs w:val="false"/>
              </w:rPr>
              <w:t xml:space="preserve">Se envía un mensaje automático informando el horario de atención, pero el flujo sigue activo: cualquier analista puede responder igual si lo desea.</w:t>
            </w:r>
          </w:p>
        </w:tc>
      </w:tr>
      <w:tr>
        <w:tc>
          <w:tcPr>
            <w:tcW w:type="dxa" w:w="900"/>
            <w:shd w:fill="F2F2F2" w:val="clear"/>
          </w:tcPr>
          <w:p>
            <w:r>
              <w:rPr>
                <w:b w:val="false"/>
                <w:bCs w:val="false"/>
              </w:rPr>
              <w:t xml:space="preserve">4</w:t>
            </w:r>
          </w:p>
        </w:tc>
        <w:tc>
          <w:tcPr>
            <w:tcW w:type="dxa" w:w="2600"/>
            <w:shd w:fill="F2F2F2" w:val="clear"/>
          </w:tcPr>
          <w:p>
            <w:r>
              <w:rPr>
                <w:b/>
                <w:bCs/>
              </w:rPr>
              <w:t xml:space="preserve">Visibilidad</w:t>
            </w:r>
          </w:p>
        </w:tc>
        <w:tc>
          <w:tcPr>
            <w:tcW w:type="dxa" w:w="6000"/>
            <w:shd w:fill="F2F2F2" w:val="clear"/>
          </w:tcPr>
          <w:p>
            <w:r>
              <w:rPr>
                <w:b w:val="false"/>
                <w:bCs w:val="false"/>
              </w:rPr>
              <w:t xml:space="preserve">Cada analista ve únicamente sus propias conversaciones (organizadas por cuenta). El área de Sistemas mantiene visibilidad total para soporte y auditoría.</w:t>
            </w:r>
          </w:p>
        </w:tc>
      </w:tr>
      <w:tr>
        <w:tc>
          <w:tcPr>
            <w:tcW w:type="dxa" w:w="900"/>
            <w:shd w:fill="FFFFFF" w:val="clear"/>
          </w:tcPr>
          <w:p>
            <w:r>
              <w:rPr>
                <w:b w:val="false"/>
                <w:bCs w:val="false"/>
              </w:rPr>
              <w:t xml:space="preserve">5</w:t>
            </w:r>
          </w:p>
        </w:tc>
        <w:tc>
          <w:tcPr>
            <w:tcW w:type="dxa" w:w="2600"/>
            <w:shd w:fill="FFFFFF" w:val="clear"/>
          </w:tcPr>
          <w:p>
            <w:r>
              <w:rPr>
                <w:b/>
                <w:bCs/>
              </w:rPr>
              <w:t xml:space="preserve">Rol de los centralizadores</w:t>
            </w:r>
          </w:p>
        </w:tc>
        <w:tc>
          <w:tcPr>
            <w:tcW w:type="dxa" w:w="6000"/>
            <w:shd w:fill="FFFFFF" w:val="clear"/>
          </w:tcPr>
          <w:p>
            <w:r>
              <w:rPr>
                <w:b w:val="false"/>
                <w:bCs w:val="false"/>
              </w:rPr>
              <w:t xml:space="preserve">Los 2 analistas que hoy centralizan y reparten manualmente desaparecen como filtro: la aplicación asume el 100% de esa función de forma automática.</w:t>
            </w:r>
          </w:p>
        </w:tc>
      </w:tr>
      <w:tr>
        <w:tc>
          <w:tcPr>
            <w:tcW w:type="dxa" w:w="900"/>
            <w:shd w:fill="F2F2F2" w:val="clear"/>
          </w:tcPr>
          <w:p>
            <w:r>
              <w:rPr>
                <w:b w:val="false"/>
                <w:bCs w:val="false"/>
              </w:rPr>
              <w:t xml:space="preserve">6</w:t>
            </w:r>
          </w:p>
        </w:tc>
        <w:tc>
          <w:tcPr>
            <w:tcW w:type="dxa" w:w="2600"/>
            <w:shd w:fill="F2F2F2" w:val="clear"/>
          </w:tcPr>
          <w:p>
            <w:r>
              <w:rPr>
                <w:b/>
                <w:bCs/>
              </w:rPr>
              <w:t xml:space="preserve">Multi-cuenta / postulante duplicado</w:t>
            </w:r>
          </w:p>
        </w:tc>
        <w:tc>
          <w:tcPr>
            <w:tcW w:type="dxa" w:w="6000"/>
            <w:shd w:fill="F2F2F2" w:val="clear"/>
          </w:tcPr>
          <w:p>
            <w:r>
              <w:rPr>
                <w:b w:val="false"/>
                <w:bCs w:val="false"/>
              </w:rPr>
              <w:t xml:space="preserve">Si el mismo postulante (identificado por DNI) escribe o postula a más de una cuenta/cliente, se abren conversaciones independientes, cada analista ve solo la suya. Además, cada analista recibe un aviso genérico (sin detalle de mensajes) indicando con qué otra(s) cuenta(s) está en proceso ese postulante, para evitar ofertas cruzadas sin saberlo.</w:t>
            </w:r>
          </w:p>
        </w:tc>
      </w:tr>
      <w:tr>
        <w:tc>
          <w:tcPr>
            <w:tcW w:type="dxa" w:w="900"/>
            <w:shd w:fill="FFFFFF" w:val="clear"/>
          </w:tcPr>
          <w:p>
            <w:r>
              <w:rPr>
                <w:b w:val="false"/>
                <w:bCs w:val="false"/>
              </w:rPr>
              <w:t xml:space="preserve">7</w:t>
            </w:r>
          </w:p>
        </w:tc>
        <w:tc>
          <w:tcPr>
            <w:tcW w:type="dxa" w:w="2600"/>
            <w:shd w:fill="FFFFFF" w:val="clear"/>
          </w:tcPr>
          <w:p>
            <w:r>
              <w:rPr>
                <w:b/>
                <w:bCs/>
              </w:rPr>
              <w:t xml:space="preserve">Whitelist / Blacklist</w:t>
            </w:r>
          </w:p>
        </w:tc>
        <w:tc>
          <w:tcPr>
            <w:tcW w:type="dxa" w:w="6000"/>
            <w:shd w:fill="FFFFFF" w:val="clear"/>
          </w:tcPr>
          <w:p>
            <w:r>
              <w:rPr>
                <w:b w:val="false"/>
                <w:bCs w:val="false"/>
              </w:rPr>
              <w:t xml:space="preserve">Cualquier analista puede marcar a un postulante como destacado (whitelist) o descartado (blacklist). El motivo es obligatorio para blacklist y opcional para whitelist.</w:t>
            </w:r>
          </w:p>
        </w:tc>
      </w:tr>
      <w:tr>
        <w:tc>
          <w:tcPr>
            <w:tcW w:type="dxa" w:w="900"/>
            <w:shd w:fill="F2F2F2" w:val="clear"/>
          </w:tcPr>
          <w:p>
            <w:r>
              <w:rPr>
                <w:b w:val="false"/>
                <w:bCs w:val="false"/>
              </w:rPr>
              <w:t xml:space="preserve">8</w:t>
            </w:r>
          </w:p>
        </w:tc>
        <w:tc>
          <w:tcPr>
            <w:tcW w:type="dxa" w:w="2600"/>
            <w:shd w:fill="F2F2F2" w:val="clear"/>
          </w:tcPr>
          <w:p>
            <w:r>
              <w:rPr>
                <w:b/>
                <w:bCs/>
              </w:rPr>
              <w:t xml:space="preserve">Transferencia de conversación</w:t>
            </w:r>
          </w:p>
        </w:tc>
        <w:tc>
          <w:tcPr>
            <w:tcW w:type="dxa" w:w="6000"/>
            <w:shd w:fill="F2F2F2" w:val="clear"/>
          </w:tcPr>
          <w:p>
            <w:r>
              <w:rPr>
                <w:b w:val="false"/>
                <w:bCs w:val="false"/>
              </w:rPr>
              <w:t xml:space="preserve">Un analista puede transferir manualmente una conversación a otro compañero cuando detecta que el postulante encaja mejor en otra vacante. Solo se deriva a un analista a la vez; si no calza con su perfil, puede reenviarlo a otro, pero siempre de uno en uno. La transferencia puede requerir aceptación o ser automática/urgente según el caso.</w:t>
            </w:r>
          </w:p>
        </w:tc>
      </w:tr>
      <w:tr>
        <w:tc>
          <w:tcPr>
            <w:tcW w:type="dxa" w:w="900"/>
            <w:shd w:fill="FFFFFF" w:val="clear"/>
          </w:tcPr>
          <w:p>
            <w:r>
              <w:rPr>
                <w:b w:val="false"/>
                <w:bCs w:val="false"/>
              </w:rPr>
              <w:t xml:space="preserve">9</w:t>
            </w:r>
          </w:p>
        </w:tc>
        <w:tc>
          <w:tcPr>
            <w:tcW w:type="dxa" w:w="2600"/>
            <w:shd w:fill="FFFFFF" w:val="clear"/>
          </w:tcPr>
          <w:p>
            <w:r>
              <w:rPr>
                <w:b/>
                <w:bCs/>
              </w:rPr>
              <w:t xml:space="preserve">Identificación por DNI y flujo WhatsApp + JobForms</w:t>
            </w:r>
          </w:p>
        </w:tc>
        <w:tc>
          <w:tcPr>
            <w:tcW w:type="dxa" w:w="6000"/>
            <w:shd w:fill="FFFFFF" w:val="clear"/>
          </w:tcPr>
          <w:p>
            <w:r>
              <w:rPr>
                <w:b w:val="false"/>
                <w:bCs w:val="false"/>
              </w:rPr>
              <w:t xml:space="preserve">El DNI (no el número de WhatsApp) es el identificador principal del postulante, porque no cambia aunque la persona cambie de celular. Flujo: el postulante escribe por WhatsApp → el bot (con botones, no texto libre) identifica la empresa/HC → envía el link del JobForms correspondiente → el postulante llena sus datos (DNI, CV adjunto, preguntas específicas del HC) → el sistema valida el envío y lo regresa automáticamente al chat con un mensaje de confirmación → a partir de ahí el chat queda disponible para consulta directa con el analista de esa cuenta. Si no completa el formulario, se envía un recordatorio automático a las 24 horas y, si persiste sin completarlo, se avisa al analista a las 48 horas. Si el postulante ya existe (mismo DNI) y escribe de nuevo tras 3 días de inactividad, se le vuelve a preguntar la empresa, salvo que un mini-mantenimiento del analista (marcar contratado / descartado / reingreso) indique lo contrario.</w:t>
            </w:r>
          </w:p>
        </w:tc>
      </w:tr>
      <w:tr>
        <w:tc>
          <w:tcPr>
            <w:tcW w:type="dxa" w:w="900"/>
            <w:shd w:fill="F2F2F2" w:val="clear"/>
          </w:tcPr>
          <w:p>
            <w:r>
              <w:rPr>
                <w:b w:val="false"/>
                <w:bCs w:val="false"/>
              </w:rPr>
              <w:t xml:space="preserve">10</w:t>
            </w:r>
          </w:p>
        </w:tc>
        <w:tc>
          <w:tcPr>
            <w:tcW w:type="dxa" w:w="2600"/>
            <w:shd w:fill="F2F2F2" w:val="clear"/>
          </w:tcPr>
          <w:p>
            <w:r>
              <w:rPr>
                <w:b/>
                <w:bCs/>
              </w:rPr>
              <w:t xml:space="preserve">Transparencia del bot</w:t>
            </w:r>
          </w:p>
        </w:tc>
        <w:tc>
          <w:tcPr>
            <w:tcW w:type="dxa" w:w="6000"/>
            <w:shd w:fill="F2F2F2" w:val="clear"/>
          </w:tcPr>
          <w:p>
            <w:r>
              <w:rPr>
                <w:b w:val="false"/>
                <w:bCs w:val="false"/>
              </w:rPr>
              <w:t xml:space="preserve">El bot se identifica como asistente automático desde el primer mensaje, antes de derivar a un analista humano.</w:t>
            </w:r>
          </w:p>
        </w:tc>
      </w:tr>
      <w:tr>
        <w:tc>
          <w:tcPr>
            <w:tcW w:type="dxa" w:w="900"/>
            <w:shd w:fill="FFFFFF" w:val="clear"/>
          </w:tcPr>
          <w:p>
            <w:r>
              <w:rPr>
                <w:b w:val="false"/>
                <w:bCs w:val="false"/>
              </w:rPr>
              <w:t xml:space="preserve">11</w:t>
            </w:r>
          </w:p>
        </w:tc>
        <w:tc>
          <w:tcPr>
            <w:tcW w:type="dxa" w:w="2600"/>
            <w:shd w:fill="FFFFFF" w:val="clear"/>
          </w:tcPr>
          <w:p>
            <w:r>
              <w:rPr>
                <w:b/>
                <w:bCs/>
              </w:rPr>
              <w:t xml:space="preserve">Prevención de contacto duplicado</w:t>
            </w:r>
          </w:p>
        </w:tc>
        <w:tc>
          <w:tcPr>
            <w:tcW w:type="dxa" w:w="6000"/>
            <w:shd w:fill="FFFFFF" w:val="clear"/>
          </w:tcPr>
          <w:p>
            <w:r>
              <w:rPr>
                <w:b w:val="false"/>
                <w:bCs w:val="false"/>
              </w:rPr>
              <w:t xml:space="preserve">Queda formalmente confirmado (regla 6) que ningún postulante puede ser contactado por dos analistas distintos sin que ambos lo sepan.</w:t>
            </w:r>
          </w:p>
        </w:tc>
      </w:tr>
      <w:tr>
        <w:tc>
          <w:tcPr>
            <w:tcW w:type="dxa" w:w="900"/>
            <w:shd w:fill="F2F2F2" w:val="clear"/>
          </w:tcPr>
          <w:p>
            <w:r>
              <w:rPr>
                <w:b w:val="false"/>
                <w:bCs w:val="false"/>
              </w:rPr>
              <w:t xml:space="preserve">12</w:t>
            </w:r>
          </w:p>
        </w:tc>
        <w:tc>
          <w:tcPr>
            <w:tcW w:type="dxa" w:w="2600"/>
            <w:shd w:fill="F2F2F2" w:val="clear"/>
          </w:tcPr>
          <w:p>
            <w:r>
              <w:rPr>
                <w:b/>
                <w:bCs/>
              </w:rPr>
              <w:t xml:space="preserve">Mensaje de cierre automatizado</w:t>
            </w:r>
          </w:p>
        </w:tc>
        <w:tc>
          <w:tcPr>
            <w:tcW w:type="dxa" w:w="6000"/>
            <w:shd w:fill="F2F2F2" w:val="clear"/>
          </w:tcPr>
          <w:p>
            <w:r>
              <w:rPr>
                <w:b w:val="false"/>
                <w:bCs w:val="false"/>
              </w:rPr>
              <w:t xml:space="preserve">Cuando un postulante queda marcado como descartado (blacklist), el sistema puede disparar automáticamente un mensaje de cierre de cortesía, sin que el analista tenga que redactarlo cada vez.</w:t>
            </w:r>
          </w:p>
        </w:tc>
      </w:tr>
      <w:tr>
        <w:tc>
          <w:tcPr>
            <w:tcW w:type="dxa" w:w="900"/>
            <w:shd w:fill="FFFFFF" w:val="clear"/>
          </w:tcPr>
          <w:p>
            <w:r>
              <w:rPr>
                <w:b w:val="false"/>
                <w:bCs w:val="false"/>
              </w:rPr>
              <w:t xml:space="preserve">13</w:t>
            </w:r>
          </w:p>
        </w:tc>
        <w:tc>
          <w:tcPr>
            <w:tcW w:type="dxa" w:w="2600"/>
            <w:shd w:fill="FFFFFF" w:val="clear"/>
          </w:tcPr>
          <w:p>
            <w:r>
              <w:rPr>
                <w:b/>
                <w:bCs/>
              </w:rPr>
              <w:t xml:space="preserve">Tablero visual tipo kanban</w:t>
            </w:r>
          </w:p>
        </w:tc>
        <w:tc>
          <w:tcPr>
            <w:tcW w:type="dxa" w:w="6000"/>
            <w:shd w:fill="FFFFFF" w:val="clear"/>
          </w:tcPr>
          <w:p>
            <w:r>
              <w:rPr>
                <w:b w:val="false"/>
                <w:bCs w:val="false"/>
              </w:rPr>
              <w:t xml:space="preserve">Cada analista visualiza a sus postulantes en columnas arrastrables (ej. Postulante nuevo → En revisión → Entrevista → Contratado / Descartado), dando una vista rápida del pipeline completo de cada vacante.</w:t>
            </w:r>
          </w:p>
        </w:tc>
      </w:tr>
      <w:tr>
        <w:tc>
          <w:tcPr>
            <w:tcW w:type="dxa" w:w="900"/>
            <w:shd w:fill="F2F2F2" w:val="clear"/>
          </w:tcPr>
          <w:p>
            <w:r>
              <w:rPr>
                <w:b w:val="false"/>
                <w:bCs w:val="false"/>
              </w:rPr>
              <w:t xml:space="preserve">14</w:t>
            </w:r>
          </w:p>
        </w:tc>
        <w:tc>
          <w:tcPr>
            <w:tcW w:type="dxa" w:w="2600"/>
            <w:shd w:fill="F2F2F2" w:val="clear"/>
          </w:tcPr>
          <w:p>
            <w:r>
              <w:rPr>
                <w:b/>
                <w:bCs/>
              </w:rPr>
              <w:t xml:space="preserve">Ausencias planificadas</w:t>
            </w:r>
          </w:p>
        </w:tc>
        <w:tc>
          <w:tcPr>
            <w:tcW w:type="dxa" w:w="6000"/>
            <w:shd w:fill="F2F2F2" w:val="clear"/>
          </w:tcPr>
          <w:p>
            <w:r>
              <w:rPr>
                <w:b w:val="false"/>
                <w:bCs w:val="false"/>
              </w:rPr>
              <w:t xml:space="preserve">El analista (o su jefe) marca con anticipación un periodo de vacaciones o descanso médico. Mientras dure, todas las conversaciones nuevas de sus cuentas van directo al analista de respaldo, sin esperar las 2 horas de la Regla 2. Al finalizar el periodo, el analista recupera automáticamente sus cuentas.</w:t>
            </w:r>
          </w:p>
        </w:tc>
      </w:tr>
      <w:tr>
        <w:tc>
          <w:tcPr>
            <w:tcW w:type="dxa" w:w="900"/>
            <w:shd w:fill="FFFFFF" w:val="clear"/>
          </w:tcPr>
          <w:p>
            <w:r>
              <w:rPr>
                <w:b w:val="false"/>
                <w:bCs w:val="false"/>
              </w:rPr>
              <w:t xml:space="preserve">15</w:t>
            </w:r>
          </w:p>
        </w:tc>
        <w:tc>
          <w:tcPr>
            <w:tcW w:type="dxa" w:w="2600"/>
            <w:shd w:fill="FFFFFF" w:val="clear"/>
          </w:tcPr>
          <w:p>
            <w:r>
              <w:rPr>
                <w:b/>
                <w:bCs/>
              </w:rPr>
              <w:t xml:space="preserve">Límite de opt-in / anti-bloqueo</w:t>
            </w:r>
          </w:p>
        </w:tc>
        <w:tc>
          <w:tcPr>
            <w:tcW w:type="dxa" w:w="6000"/>
            <w:shd w:fill="FFFFFF" w:val="clear"/>
          </w:tcPr>
          <w:p>
            <w:r>
              <w:rPr>
                <w:b w:val="false"/>
                <w:bCs w:val="false"/>
              </w:rPr>
              <w:t xml:space="preserve">Ningún analista puede iniciar contacto (escribir primero) a un número que no inició la conversación, salvo mediante plantillas de tipo Utilidad aprobadas por Meta. El sistema impide el envío si no existe opt-in registrado (el postulante escribió primero o completó un JobForms). Esta regla ataca directamente la causa de bloqueo relacionada con mensajes sin consentimiento (ver Sección 2.4).</w:t>
            </w:r>
          </w:p>
        </w:tc>
      </w:tr>
      <w:tr>
        <w:tc>
          <w:tcPr>
            <w:tcW w:type="dxa" w:w="900"/>
            <w:shd w:fill="F2F2F2" w:val="clear"/>
          </w:tcPr>
          <w:p>
            <w:r>
              <w:rPr>
                <w:b w:val="false"/>
                <w:bCs w:val="false"/>
              </w:rPr>
              <w:t xml:space="preserve">16</w:t>
            </w:r>
          </w:p>
        </w:tc>
        <w:tc>
          <w:tcPr>
            <w:tcW w:type="dxa" w:w="2600"/>
            <w:shd w:fill="F2F2F2" w:val="clear"/>
          </w:tcPr>
          <w:p>
            <w:r>
              <w:rPr>
                <w:b/>
                <w:bCs/>
              </w:rPr>
              <w:t xml:space="preserve">Cierre definitivo de caso</w:t>
            </w:r>
          </w:p>
        </w:tc>
        <w:tc>
          <w:tcPr>
            <w:tcW w:type="dxa" w:w="6000"/>
            <w:shd w:fill="F2F2F2" w:val="clear"/>
          </w:tcPr>
          <w:p>
            <w:r>
              <w:rPr>
                <w:b w:val="false"/>
                <w:bCs w:val="false"/>
              </w:rPr>
              <w:t xml:space="preserve">Además del re-preguntado por inactividad a los 3 días (Regla 9), se define un archivado definitivo del caso (ej. 90 días sin actividad y sin marca de contratado o reingreso), para que la base de postulantes activos no crezca indefinidamente.</w:t>
            </w:r>
          </w:p>
        </w:tc>
      </w:tr>
      <w:tr>
        <w:tc>
          <w:tcPr>
            <w:tcW w:type="dxa" w:w="900"/>
            <w:shd w:fill="FFFFFF" w:val="clear"/>
          </w:tcPr>
          <w:p>
            <w:r>
              <w:rPr>
                <w:b w:val="false"/>
                <w:bCs w:val="false"/>
              </w:rPr>
              <w:t xml:space="preserve">17</w:t>
            </w:r>
          </w:p>
        </w:tc>
        <w:tc>
          <w:tcPr>
            <w:tcW w:type="dxa" w:w="2600"/>
            <w:shd w:fill="FFFFFF" w:val="clear"/>
          </w:tcPr>
          <w:p>
            <w:r>
              <w:rPr>
                <w:b/>
                <w:bCs/>
              </w:rPr>
              <w:t xml:space="preserve">Consentimiento y protección de datos (DNI / CV)</w:t>
            </w:r>
          </w:p>
        </w:tc>
        <w:tc>
          <w:tcPr>
            <w:tcW w:type="dxa" w:w="6000"/>
            <w:shd w:fill="FFFFFF" w:val="clear"/>
          </w:tcPr>
          <w:p>
            <w:r>
              <w:rPr>
                <w:b w:val="false"/>
                <w:bCs w:val="false"/>
              </w:rPr>
              <w:t xml:space="preserve">El postulante acepta un aviso de privacidad antes de enviar su DNI y CV a través del JobForms, y se define un plazo de retención de esos datos, alineado a la Ley de Protección de Datos Personales del Perú. Sirve además como respaldo si un postulante solicita la eliminación de su información.</w:t>
            </w:r>
          </w:p>
        </w:tc>
      </w:tr>
      <w:tr>
        <w:tc>
          <w:tcPr>
            <w:tcW w:type="dxa" w:w="900"/>
            <w:shd w:fill="F2F2F2" w:val="clear"/>
          </w:tcPr>
          <w:p>
            <w:r>
              <w:rPr>
                <w:b w:val="false"/>
                <w:bCs w:val="false"/>
              </w:rPr>
              <w:t xml:space="preserve">18</w:t>
            </w:r>
          </w:p>
        </w:tc>
        <w:tc>
          <w:tcPr>
            <w:tcW w:type="dxa" w:w="2600"/>
            <w:shd w:fill="F2F2F2" w:val="clear"/>
          </w:tcPr>
          <w:p>
            <w:r>
              <w:rPr>
                <w:b/>
                <w:bCs/>
              </w:rPr>
              <w:t xml:space="preserve">Métricas y reporte para gerencia</w:t>
            </w:r>
          </w:p>
        </w:tc>
        <w:tc>
          <w:tcPr>
            <w:tcW w:type="dxa" w:w="6000"/>
            <w:shd w:fill="F2F2F2" w:val="clear"/>
          </w:tcPr>
          <w:p>
            <w:r>
              <w:rPr>
                <w:b w:val="false"/>
                <w:bCs w:val="false"/>
              </w:rPr>
              <w:t xml:space="preserve">Panel con tiempo promedio de primera respuesta, tasa de conversión (postulante → contratado) y nivel de actividad por analista, reutilizando los mismos datos que ya se registran en conversaciones y estados — similar a los reportes vistos en herramientas de referencia como iVentas.</w:t>
            </w:r>
          </w:p>
        </w:tc>
      </w:tr>
      <w:tr>
        <w:tc>
          <w:tcPr>
            <w:tcW w:type="dxa" w:w="900"/>
            <w:shd w:fill="FFFFFF" w:val="clear"/>
          </w:tcPr>
          <w:p>
            <w:r>
              <w:rPr>
                <w:b w:val="false"/>
                <w:bCs w:val="false"/>
              </w:rPr>
              <w:t xml:space="preserve">19</w:t>
            </w:r>
          </w:p>
        </w:tc>
        <w:tc>
          <w:tcPr>
            <w:tcW w:type="dxa" w:w="2600"/>
            <w:shd w:fill="FFFFFF" w:val="clear"/>
          </w:tcPr>
          <w:p>
            <w:r>
              <w:rPr>
                <w:b/>
                <w:bCs/>
              </w:rPr>
              <w:t xml:space="preserve">Fallback de menú no reconocido</w:t>
            </w:r>
          </w:p>
        </w:tc>
        <w:tc>
          <w:tcPr>
            <w:tcW w:type="dxa" w:w="6000"/>
            <w:shd w:fill="FFFFFF" w:val="clear"/>
          </w:tcPr>
          <w:p>
            <w:r>
              <w:rPr>
                <w:b w:val="false"/>
                <w:bCs w:val="false"/>
              </w:rPr>
              <w:t xml:space="preserve">Si el postulante escribe texto libre en vez de usar los botones del bot, éste reintenta una vez mostrando nuevamente el menú de opciones. Si el postulante sigue sin responder con una opción válida, la conversación se deriva a una bandeja general de "pendientes por clasificar", visible para todos los analistas, para que cualquiera la tome manualmente.</w:t>
            </w:r>
          </w:p>
        </w:tc>
      </w:tr>
      <w:tr>
        <w:tc>
          <w:tcPr>
            <w:tcW w:type="dxa" w:w="900"/>
            <w:shd w:fill="F2F2F2" w:val="clear"/>
          </w:tcPr>
          <w:p>
            <w:r>
              <w:rPr>
                <w:b w:val="false"/>
                <w:bCs w:val="false"/>
              </w:rPr>
              <w:t xml:space="preserve">20</w:t>
            </w:r>
          </w:p>
        </w:tc>
        <w:tc>
          <w:tcPr>
            <w:tcW w:type="dxa" w:w="2600"/>
            <w:shd w:fill="F2F2F2" w:val="clear"/>
          </w:tcPr>
          <w:p>
            <w:r>
              <w:rPr>
                <w:b/>
                <w:bCs/>
              </w:rPr>
              <w:t xml:space="preserve">Vacante (HC) cerrada</w:t>
            </w:r>
          </w:p>
        </w:tc>
        <w:tc>
          <w:tcPr>
            <w:tcW w:type="dxa" w:w="6000"/>
            <w:shd w:fill="F2F2F2" w:val="clear"/>
          </w:tcPr>
          <w:p>
            <w:r>
              <w:rPr>
                <w:b w:val="false"/>
                <w:bCs w:val="false"/>
              </w:rPr>
              <w:t xml:space="preserve">Si el HC asociado a un JobForms ya fue cubierto o cerrado, el enlace se desactiva automáticamente y el bot informa al postulante que la vacante ya no está disponible, mostrando de nuevo el menú de empresas/clientes por si desea postular a otra vacante activa de la misma cuenta.</w:t>
            </w:r>
          </w:p>
        </w:tc>
      </w:tr>
    </w:tbl>
    <w:p>
      <w:pPr>
        <w:spacing w:after="150"/>
      </w:pPr>
    </w:p>
    <w:p>
      <w:pPr>
        <w:spacing w:after="150"/>
      </w:pPr>
      <w:r>
        <w:t xml:space="preserve">Las reglas 14 a 20 se incorporaron en una revisión posterior del proceso, a partir de vacíos identificados en la gestión diaria de los analistas (ausencias, cierre de casos, protección de datos, reporte a gerencia, menú no reconocido, vacantes cerradas) y del análisis de las causas por las que Meta bloquea cuentas de WhatsApp (Sección 2.4), que motivó puntualmente la Regla 15.</w:t>
      </w:r>
    </w:p>
    <w:p>
      <w:pPr>
        <w:spacing w:after="150"/>
      </w:pPr>
      <w:r>
        <w:t xml:space="preserve">Nota: existe una idea adicional identificada como fase futura — un puntaje o ranking automático de candidatos por IA según qué tan bien calza el CV con la vacante — que se deja pendiente para una etapa posterior, una vez que el JobForms esté funcionando y estructurado.</w:t>
      </w:r>
    </w:p>
    <w:p>
      <w:pPr>
        <w:pStyle w:val="Heading1"/>
        <w:spacing w:after="200" w:before="400"/>
      </w:pPr>
      <w:r>
        <w:t xml:space="preserve">6. Flujo del proceso</w:t>
      </w:r>
    </w:p>
    <w:p>
      <w:pPr>
        <w:pStyle w:val="Heading2"/>
        <w:spacing w:after="150" w:before="300"/>
      </w:pPr>
      <w:r>
        <w:t xml:space="preserve">6.1 Inicio del proceso — captación</w:t>
      </w:r>
    </w:p>
    <w:p>
      <w:pPr>
        <w:pStyle w:val="ListParagraph"/>
        <w:numPr>
          <w:ilvl w:val="0"/>
          <w:numId w:val="2"/>
        </w:numPr>
        <w:spacing w:after="80"/>
      </w:pPr>
      <w:r>
        <w:t xml:space="preserve">El postulante escribe por WhatsApp (por un aviso publicado o directamente al número de la empresa).</w:t>
      </w:r>
    </w:p>
    <w:p>
      <w:pPr>
        <w:pStyle w:val="ListParagraph"/>
        <w:numPr>
          <w:ilvl w:val="0"/>
          <w:numId w:val="2"/>
        </w:numPr>
        <w:spacing w:after="80"/>
      </w:pPr>
      <w:r>
        <w:t xml:space="preserve">El bot se identifica como asistente automático y, mediante botones (no texto libre), pregunta a qué empresa/cliente corresponde su interés.</w:t>
      </w:r>
    </w:p>
    <w:p>
      <w:pPr>
        <w:pStyle w:val="ListParagraph"/>
        <w:numPr>
          <w:ilvl w:val="0"/>
          <w:numId w:val="2"/>
        </w:numPr>
        <w:spacing w:after="80"/>
      </w:pPr>
      <w:r>
        <w:t xml:space="preserve">Si el postulante no responde con una opción válida (escribe texto libre), el bot reintenta una vez mostrando de nuevo el menú; si persiste sin responder correctamente, la conversación se deriva a una bandeja general de "pendientes por clasificar", visible para todos los analistas (Regla 19).</w:t>
      </w:r>
    </w:p>
    <w:p>
      <w:pPr>
        <w:pStyle w:val="ListParagraph"/>
        <w:numPr>
          <w:ilvl w:val="0"/>
          <w:numId w:val="2"/>
        </w:numPr>
        <w:spacing w:after="80"/>
      </w:pPr>
      <w:r>
        <w:t xml:space="preserve">El bot valida que el HC/vacante siga activo antes de enviar el link del JobForms; si ya fue cubierto, informa al postulante y vuelve a mostrar el menú de empresas (Regla 20).</w:t>
      </w:r>
    </w:p>
    <w:p>
      <w:pPr>
        <w:pStyle w:val="ListParagraph"/>
        <w:numPr>
          <w:ilvl w:val="0"/>
          <w:numId w:val="2"/>
        </w:numPr>
        <w:spacing w:after="80"/>
      </w:pPr>
      <w:r>
        <w:t xml:space="preserve">El postulante acepta el aviso de privacidad sobre el uso de su DNI y CV antes de continuar (Regla 17), y luego llena el JobForms correspondiente al HC (campos fijos + opcionales, y carga de CV).</w:t>
      </w:r>
    </w:p>
    <w:p>
      <w:pPr>
        <w:pStyle w:val="ListParagraph"/>
        <w:numPr>
          <w:ilvl w:val="0"/>
          <w:numId w:val="2"/>
        </w:numPr>
        <w:spacing w:after="80"/>
      </w:pPr>
      <w:r>
        <w:t xml:space="preserve">Si el DNI del postulante ya existe en el sistema, se muestra automáticamente su historial previo al analista.</w:t>
      </w:r>
    </w:p>
    <w:p>
      <w:pPr>
        <w:pStyle w:val="ListParagraph"/>
        <w:numPr>
          <w:ilvl w:val="0"/>
          <w:numId w:val="2"/>
        </w:numPr>
        <w:spacing w:after="80"/>
      </w:pPr>
      <w:r>
        <w:t xml:space="preserve">Si no completa el formulario: recordatorio automático a las 24 horas; si persiste sin completarlo, aviso al analista a las 48 horas.</w:t>
      </w:r>
    </w:p>
    <w:p>
      <w:pPr>
        <w:pStyle w:val="Heading2"/>
        <w:spacing w:after="150" w:before="300"/>
      </w:pPr>
      <w:r>
        <w:t xml:space="preserve">6.2 Fin del proceso — atención y cierre</w:t>
      </w:r>
    </w:p>
    <w:p>
      <w:pPr>
        <w:pStyle w:val="ListParagraph"/>
        <w:numPr>
          <w:ilvl w:val="0"/>
          <w:numId w:val="2"/>
        </w:numPr>
        <w:spacing w:after="80"/>
      </w:pPr>
      <w:r>
        <w:t xml:space="preserve">El sistema valida que el formulario fue completado y regresa al postulante automáticamente al chat de WhatsApp con un mensaje de confirmación.</w:t>
      </w:r>
    </w:p>
    <w:p>
      <w:pPr>
        <w:pStyle w:val="ListParagraph"/>
        <w:numPr>
          <w:ilvl w:val="0"/>
          <w:numId w:val="2"/>
        </w:numPr>
        <w:spacing w:after="80"/>
      </w:pPr>
      <w:r>
        <w:t xml:space="preserve">Antes de asignar la conversación al analista dueño de la cuenta, el sistema verifica si está marcado como ausente (vacaciones, descanso médico): si lo está, la conversación va directo al analista de respaldo, sin esperar las 2 horas de la Regla 2 (Regla 14).</w:t>
      </w:r>
    </w:p>
    <w:p>
      <w:pPr>
        <w:pStyle w:val="ListParagraph"/>
        <w:numPr>
          <w:ilvl w:val="0"/>
          <w:numId w:val="2"/>
        </w:numPr>
        <w:spacing w:after="80"/>
      </w:pPr>
      <w:r>
        <w:t xml:space="preserve">Si el analista dueño está disponible y no responde en 2 horas, la conversación escala automáticamente al respaldo fijo de esa cuenta (Regla 2).</w:t>
      </w:r>
    </w:p>
    <w:p>
      <w:pPr>
        <w:pStyle w:val="ListParagraph"/>
        <w:numPr>
          <w:ilvl w:val="0"/>
          <w:numId w:val="2"/>
        </w:numPr>
        <w:spacing w:after="80"/>
      </w:pPr>
      <w:r>
        <w:t xml:space="preserve">Toda respuesta del analista debe respetar la ventana de 24 horas de WhatsApp: si pasaron más de 24h desde el último mensaje del postulante, el mensaje debe enviarse como plantilla aprobada por Meta, no como texto libre — esto aplica en cualquier punto de la conversación, no solo al inicio.</w:t>
      </w:r>
    </w:p>
    <w:p>
      <w:pPr>
        <w:pStyle w:val="ListParagraph"/>
        <w:numPr>
          <w:ilvl w:val="0"/>
          <w:numId w:val="2"/>
        </w:numPr>
        <w:spacing w:after="80"/>
      </w:pPr>
      <w:r>
        <w:t xml:space="preserve">Si el postulante también está en proceso con otra(s) cuenta(s), el analista recibe un aviso genérico (sin detalle de mensajes).</w:t>
      </w:r>
    </w:p>
    <w:p>
      <w:pPr>
        <w:pStyle w:val="ListParagraph"/>
        <w:numPr>
          <w:ilvl w:val="0"/>
          <w:numId w:val="2"/>
        </w:numPr>
        <w:spacing w:after="80"/>
      </w:pPr>
      <w:r>
        <w:t xml:space="preserve">El analista puede marcar al postulante en whitelist (destacado, motivo opcional) o blacklist (descartado, motivo obligatorio), transferir la conversación a otro analista (de uno en uno), o moverlo dentro del tablero kanban según la etapa del proceso.</w:t>
      </w:r>
    </w:p>
    <w:p>
      <w:pPr>
        <w:pStyle w:val="ListParagraph"/>
        <w:numPr>
          <w:ilvl w:val="0"/>
          <w:numId w:val="2"/>
        </w:numPr>
        <w:spacing w:after="80"/>
      </w:pPr>
      <w:r>
        <w:t xml:space="preserve">Al quedar descartado, el sistema puede disparar automáticamente un mensaje de cierre de cortesía.</w:t>
      </w:r>
    </w:p>
    <w:p>
      <w:pPr>
        <w:pStyle w:val="ListParagraph"/>
        <w:numPr>
          <w:ilvl w:val="0"/>
          <w:numId w:val="2"/>
        </w:numPr>
        <w:spacing w:after="80"/>
      </w:pPr>
      <w:r>
        <w:t xml:space="preserve">Si el caso queda sin actividad durante 90 días y sin marca de contratado o reingreso, se archiva de forma definitiva (Regla 16), independientemente del re-preguntado por inactividad a los 3 días (Regla 9).</w:t>
      </w:r>
    </w:p>
    <w:p>
      <w:pPr>
        <w:pStyle w:val="Heading1"/>
        <w:spacing w:after="200" w:before="400"/>
      </w:pPr>
      <w:r>
        <w:t xml:space="preserve">7. Diseño de la bandeja del analista</w:t>
      </w:r>
    </w:p>
    <w:p>
      <w:pPr>
        <w:spacing w:after="150"/>
      </w:pPr>
      <w:r>
        <w:t xml:space="preserve">Inspirada en las funcionalidades revisadas de iVentas y ajustada a las reglas de negocio definidas, la pantalla diaria de cada analista debería incluir:</w:t>
      </w:r>
    </w:p>
    <w:p>
      <w:pPr>
        <w:pStyle w:val="ListParagraph"/>
        <w:numPr>
          <w:ilvl w:val="0"/>
          <w:numId w:val="2"/>
        </w:numPr>
        <w:spacing w:after="80"/>
      </w:pPr>
      <w:r>
        <w:t xml:space="preserve">Lista de conversaciones agrupadas por cuenta/cliente (subdivisión), con las de otras cuentas asignadas al mismo analista organizadas aparte.</w:t>
      </w:r>
    </w:p>
    <w:p>
      <w:pPr>
        <w:pStyle w:val="ListParagraph"/>
        <w:numPr>
          <w:ilvl w:val="0"/>
          <w:numId w:val="2"/>
        </w:numPr>
        <w:spacing w:after="80"/>
      </w:pPr>
      <w:r>
        <w:t xml:space="preserve">Buscador por DNI del postulante, que trae directamente el chat correspondiente.</w:t>
      </w:r>
    </w:p>
    <w:p>
      <w:pPr>
        <w:pStyle w:val="ListParagraph"/>
        <w:numPr>
          <w:ilvl w:val="0"/>
          <w:numId w:val="2"/>
        </w:numPr>
        <w:spacing w:after="80"/>
      </w:pPr>
      <w:r>
        <w:t xml:space="preserve">Aviso visible de multi-cuenta cuando el postulante está en proceso con más de un cliente.</w:t>
      </w:r>
    </w:p>
    <w:p>
      <w:pPr>
        <w:pStyle w:val="ListParagraph"/>
        <w:numPr>
          <w:ilvl w:val="0"/>
          <w:numId w:val="2"/>
        </w:numPr>
        <w:spacing w:after="80"/>
      </w:pPr>
      <w:r>
        <w:t xml:space="preserve">Botones de acción rápida: destacar (whitelist), descartar (blacklist, con motivo obligatorio) y transferir (a un analista a la vez).</w:t>
      </w:r>
    </w:p>
    <w:p>
      <w:pPr>
        <w:pStyle w:val="ListParagraph"/>
        <w:numPr>
          <w:ilvl w:val="0"/>
          <w:numId w:val="2"/>
        </w:numPr>
        <w:spacing w:after="80"/>
      </w:pPr>
      <w:r>
        <w:t xml:space="preserve">Tablero visual tipo kanban por vacante/HC, con columnas arrastrables (ej. Postulante nuevo → En revisión → Entrevista → Contratado / Descartado).</w:t>
      </w:r>
    </w:p>
    <w:p>
      <w:pPr>
        <w:pStyle w:val="ListParagraph"/>
        <w:numPr>
          <w:ilvl w:val="0"/>
          <w:numId w:val="2"/>
        </w:numPr>
        <w:spacing w:after="80"/>
      </w:pPr>
      <w:r>
        <w:t xml:space="preserve">Plantillas de mensaje predefinidas (tipo Utilidad) para respuestas frecuentes.</w:t>
      </w:r>
    </w:p>
    <w:p>
      <w:pPr>
        <w:pStyle w:val="ListParagraph"/>
        <w:numPr>
          <w:ilvl w:val="0"/>
          <w:numId w:val="2"/>
        </w:numPr>
        <w:spacing w:after="80"/>
      </w:pPr>
      <w:r>
        <w:t xml:space="preserve">Visibilidad total para el área de Sistemas, con fines de soporte y auditoría.</w:t>
      </w:r>
    </w:p>
    <w:p>
      <w:pPr>
        <w:pStyle w:val="Heading1"/>
        <w:spacing w:after="200" w:before="400"/>
      </w:pPr>
      <w:r>
        <w:t xml:space="preserve">8. Arquitectura técnica propuesta</w:t>
      </w:r>
    </w:p>
    <w:p>
      <w:pPr>
        <w:spacing w:after="150"/>
      </w:pPr>
      <w:r>
        <w:t xml:space="preserve">Se revisó el diseño inicial para reducir el acoplamiento entre módulos y aumentar la cohesión interna de cada uno, pensando en que el proyecto lo construye y mantiene una sola persona con apoyo de Claude Code. La recomendación es un monolito modular: un solo proyecto desplegable, organizado internamente en módulos independientes con interfaces claras entre ellos — la misma disciplina de una arquitectura de microservicios, sin la complejidad operativa de desplegar varios servicios por separado. Queda listo para dividirse en servicios reales más adelante si el volumen lo justifica.</w:t>
      </w:r>
    </w:p>
    <w:p>
      <w:pPr>
        <w:pStyle w:val="Heading2"/>
        <w:spacing w:after="150" w:before="300"/>
      </w:pPr>
      <w:r>
        <w:t xml:space="preserve">8.1 Capas del sistema</w:t>
      </w:r>
    </w:p>
    <w:p>
      <w:pPr>
        <w:pStyle w:val="ListParagraph"/>
        <w:numPr>
          <w:ilvl w:val="0"/>
          <w:numId w:val="2"/>
        </w:numPr>
        <w:spacing w:after="80"/>
      </w:pPr>
      <w:r>
        <w:t xml:space="preserve">WhatsApp Business API: el proveedor oficial (360dialog o Meta Cloud API), fuera del sistema.</w:t>
      </w:r>
    </w:p>
    <w:p>
      <w:pPr>
        <w:pStyle w:val="ListParagraph"/>
        <w:numPr>
          <w:ilvl w:val="0"/>
          <w:numId w:val="2"/>
        </w:numPr>
        <w:spacing w:after="80"/>
      </w:pPr>
      <w:r>
        <w:t xml:space="preserve">Gateway de mensajería: recibe el webhook, valida la firma de la petición y encola el evento — no procesa lógica de negocio, es intencionalmente delgado y sin estado.</w:t>
      </w:r>
    </w:p>
    <w:p>
      <w:pPr>
        <w:pStyle w:val="ListParagraph"/>
        <w:numPr>
          <w:ilvl w:val="0"/>
          <w:numId w:val="2"/>
        </w:numPr>
        <w:spacing w:after="80"/>
      </w:pPr>
      <w:r>
        <w:t xml:space="preserve">Cola / buffer (outbox): absorbe picos de tráfico y desacopla la velocidad de ingesta de WhatsApp de la velocidad de procesamiento interno. Permite reintentos sin perder mensajes.</w:t>
      </w:r>
    </w:p>
    <w:p>
      <w:pPr>
        <w:pStyle w:val="ListParagraph"/>
        <w:numPr>
          <w:ilvl w:val="0"/>
          <w:numId w:val="2"/>
        </w:numPr>
        <w:spacing w:after="80"/>
      </w:pPr>
      <w:r>
        <w:t xml:space="preserve">Motor de reglas: el núcleo del sistema. Evalúa las 20 reglas de negocio ya definidas y decide qué acción tomar, pero no envía mensajes ni escribe directamente en las tablas de otros módulos — solo decide.</w:t>
      </w:r>
    </w:p>
    <w:p>
      <w:pPr>
        <w:pStyle w:val="ListParagraph"/>
        <w:numPr>
          <w:ilvl w:val="0"/>
          <w:numId w:val="2"/>
        </w:numPr>
        <w:spacing w:after="80"/>
      </w:pPr>
      <w:r>
        <w:t xml:space="preserve">Módulos de dominio (Conversaciones, Adaptador de proveedor, JobForms): cada uno dueño único de sus propios datos; el resto del sistema accede a través de su interfaz, nunca directo a sus tablas.</w:t>
      </w:r>
    </w:p>
    <w:p>
      <w:pPr>
        <w:pStyle w:val="ListParagraph"/>
        <w:numPr>
          <w:ilvl w:val="0"/>
          <w:numId w:val="2"/>
        </w:numPr>
        <w:spacing w:after="80"/>
      </w:pPr>
      <w:r>
        <w:t xml:space="preserve">Consumidores (Bandeja del analista, Reporting): consumen los módulos de dominio a través de una API propia, nunca leen ni escriben directo en SQL Server.</w:t>
      </w:r>
    </w:p>
    <w:p>
      <w:pPr>
        <w:pStyle w:val="Heading2"/>
        <w:spacing w:after="150" w:before="300"/>
      </w:pPr>
      <w:r>
        <w:t xml:space="preserve">8.2 Patrones de diseño aplicados</w:t>
      </w:r>
    </w:p>
    <w:p>
      <w:pPr>
        <w:pStyle w:val="ListParagraph"/>
        <w:numPr>
          <w:ilvl w:val="0"/>
          <w:numId w:val="2"/>
        </w:numPr>
        <w:spacing w:after="80"/>
      </w:pPr>
      <w:r>
        <w:t xml:space="preserve">Adapter: una interfaz única para el proveedor de WhatsApp (ej. IWhatsAppProvider), con una implementación por proveedor (360dialog, Meta Cloud API). Cambiar de proveedor implica reemplazar una implementación, no reescribir el sistema.</w:t>
      </w:r>
    </w:p>
    <w:p>
      <w:pPr>
        <w:pStyle w:val="ListParagraph"/>
        <w:numPr>
          <w:ilvl w:val="0"/>
          <w:numId w:val="2"/>
        </w:numPr>
        <w:spacing w:after="80"/>
      </w:pPr>
      <w:r>
        <w:t xml:space="preserve">Strategy: cada regla de negocio (asignación, escalamiento, ausencias, fallback de menú, etc.) es una unidad independiente y testeable que el motor de reglas invoca — agregar una regla nueva no obliga a tocar las demás.</w:t>
      </w:r>
    </w:p>
    <w:p>
      <w:pPr>
        <w:pStyle w:val="ListParagraph"/>
        <w:numPr>
          <w:ilvl w:val="0"/>
          <w:numId w:val="2"/>
        </w:numPr>
        <w:spacing w:after="80"/>
      </w:pPr>
      <w:r>
        <w:t xml:space="preserve">Repository: acceso a datos abstraído por agregado (conversaciones, postulantes, HCs), para que ningún módulo dependa del esquema interno de otro.</w:t>
      </w:r>
    </w:p>
    <w:p>
      <w:pPr>
        <w:pStyle w:val="ListParagraph"/>
        <w:numPr>
          <w:ilvl w:val="0"/>
          <w:numId w:val="2"/>
        </w:numPr>
        <w:spacing w:after="80"/>
      </w:pPr>
      <w:r>
        <w:t xml:space="preserve">Outbox / arquitectura orientada a eventos: los efectos secundarios (recordatorios, escalamientos, notificaciones) se disparan a partir de eventos registrados, no de llamadas directas entre módulos — mejora la trazabilidad y facilita reintentos.</w:t>
      </w:r>
    </w:p>
    <w:p>
      <w:pPr>
        <w:pStyle w:val="ListParagraph"/>
        <w:numPr>
          <w:ilvl w:val="0"/>
          <w:numId w:val="2"/>
        </w:numPr>
        <w:spacing w:after="80"/>
      </w:pPr>
      <w:r>
        <w:t xml:space="preserve">Modelo de solo lectura (CQRS ligero) para Reporting: los reportes de gerencia se alimentan de una copia de los datos actualizada por eventos, para no competir por bloqueos con las conversaciones activas.</w:t>
      </w:r>
    </w:p>
    <w:p>
      <w:pPr>
        <w:pStyle w:val="Heading2"/>
        <w:spacing w:after="150" w:before="300"/>
      </w:pPr>
      <w:r>
        <w:t xml:space="preserve">8.3 Otras consideraciones de escalabilidad</w:t>
      </w:r>
    </w:p>
    <w:p>
      <w:pPr>
        <w:pStyle w:val="ListParagraph"/>
        <w:numPr>
          <w:ilvl w:val="0"/>
          <w:numId w:val="2"/>
        </w:numPr>
        <w:spacing w:after="80"/>
      </w:pPr>
      <w:r>
        <w:t xml:space="preserve">Gateway y motor de reglas sin estado, replicables horizontalmente si el volumen crece más allá de los ~16,000 mensajes/mes actuales.</w:t>
      </w:r>
    </w:p>
    <w:p>
      <w:pPr>
        <w:pStyle w:val="ListParagraph"/>
        <w:numPr>
          <w:ilvl w:val="0"/>
          <w:numId w:val="2"/>
        </w:numPr>
        <w:spacing w:after="80"/>
      </w:pPr>
      <w:r>
        <w:t xml:space="preserve">CVs adjuntos almacenados fuera de SQL Server (ej. Azure Blob Storage), para no sobrecargar la base de datos.</w:t>
      </w:r>
    </w:p>
    <w:p>
      <w:pPr>
        <w:pStyle w:val="ListParagraph"/>
        <w:numPr>
          <w:ilvl w:val="0"/>
          <w:numId w:val="2"/>
        </w:numPr>
        <w:spacing w:after="80"/>
      </w:pPr>
      <w:r>
        <w:t xml:space="preserve">Idempotencia en el webhook: WhatsApp puede reintentar la entrega de un mensaje; el gateway debe reconocer el ID del mensaje y no procesarlo dos veces.</w:t>
      </w:r>
    </w:p>
    <w:p>
      <w:pPr>
        <w:pStyle w:val="ListParagraph"/>
        <w:numPr>
          <w:ilvl w:val="0"/>
          <w:numId w:val="2"/>
        </w:numPr>
        <w:spacing w:after="80"/>
      </w:pPr>
      <w:r>
        <w:t xml:space="preserve">Reglas parametrizables (2 horas de escalamiento, 3 días de reapertura, 90 días de archivado, etc.) guardadas en una tabla de configuración, no en el código — se ajustan sin redeploy.</w:t>
      </w:r>
    </w:p>
    <w:p>
      <w:pPr>
        <w:spacing w:after="150"/>
      </w:pPr>
      <w:r>
        <w:t xml:space="preserve">El diseño detallado de módulos, tablas y contratos se desarrolla en la Sección 9.</w:t>
      </w:r>
    </w:p>
    <w:p>
      <w:pPr>
        <w:pStyle w:val="Heading1"/>
        <w:spacing w:after="200" w:before="400"/>
      </w:pPr>
      <w:r>
        <w:t xml:space="preserve">9. Diseño del software</w:t>
      </w:r>
    </w:p>
    <w:p>
      <w:pPr>
        <w:spacing w:after="150"/>
      </w:pPr>
      <w:r>
        <w:t xml:space="preserve">Propuesta de diseño para construir el sistema como una solución .NET modular sobre SQL Server, alineada al stack que ya maneja el área de Sistemas. Sirve como punto de partida para Claude Code — cada módulo puede desarrollarse y probarse por separado.</w:t>
      </w:r>
    </w:p>
    <w:p>
      <w:pPr>
        <w:pStyle w:val="Heading2"/>
        <w:spacing w:after="150" w:before="300"/>
      </w:pPr>
      <w:r>
        <w:t xml:space="preserve">9.1 Estructura de la solución</w:t>
      </w:r>
    </w:p>
    <w:p>
      <w:pPr>
        <w:pStyle w:val="ListParagraph"/>
        <w:numPr>
          <w:ilvl w:val="0"/>
          <w:numId w:val="2"/>
        </w:numPr>
        <w:spacing w:after="80"/>
      </w:pPr>
      <w:r>
        <w:t xml:space="preserve">RRHH.WhatsApp.Api — expone el webhook de WhatsApp y los endpoints REST (bandeja, JobForms público, reportes).</w:t>
      </w:r>
    </w:p>
    <w:p>
      <w:pPr>
        <w:pStyle w:val="ListParagraph"/>
        <w:numPr>
          <w:ilvl w:val="0"/>
          <w:numId w:val="2"/>
        </w:numPr>
        <w:spacing w:after="80"/>
      </w:pPr>
      <w:r>
        <w:t xml:space="preserve">RRHH.WhatsApp.Domain — entidades (Conversación, Postulante, HC, Analista), interfaces de los módulos y las 20 reglas de negocio como unidades independientes.</w:t>
      </w:r>
    </w:p>
    <w:p>
      <w:pPr>
        <w:pStyle w:val="ListParagraph"/>
        <w:numPr>
          <w:ilvl w:val="0"/>
          <w:numId w:val="2"/>
        </w:numPr>
        <w:spacing w:after="80"/>
      </w:pPr>
      <w:r>
        <w:t xml:space="preserve">RRHH.WhatsApp.Application — casos de uso: orquesta el motor de reglas y coordina los módulos de dominio, sin conocer detalles de base de datos ni del proveedor de WhatsApp.</w:t>
      </w:r>
    </w:p>
    <w:p>
      <w:pPr>
        <w:pStyle w:val="ListParagraph"/>
        <w:numPr>
          <w:ilvl w:val="0"/>
          <w:numId w:val="2"/>
        </w:numPr>
        <w:spacing w:after="80"/>
      </w:pPr>
      <w:r>
        <w:t xml:space="preserve">RRHH.WhatsApp.Infrastructure — implementación de acceso a datos (SQL Server), adaptadores de proveedor (360dialog / Meta Cloud API) y almacenamiento de CVs.</w:t>
      </w:r>
    </w:p>
    <w:p>
      <w:pPr>
        <w:pStyle w:val="ListParagraph"/>
        <w:numPr>
          <w:ilvl w:val="0"/>
          <w:numId w:val="2"/>
        </w:numPr>
        <w:spacing w:after="80"/>
      </w:pPr>
      <w:r>
        <w:t xml:space="preserve">RRHH.WhatsApp.Worker — proceso en segundo plano para la lógica basada en tiempo: escalamiento a las 2h, recordatorio a las 24h, aviso a las 48h, archivado a los 90 días, verificación de ausencias planificadas.</w:t>
      </w:r>
    </w:p>
    <w:p>
      <w:pPr>
        <w:pStyle w:val="ListParagraph"/>
        <w:numPr>
          <w:ilvl w:val="0"/>
          <w:numId w:val="2"/>
        </w:numPr>
        <w:spacing w:after="80"/>
      </w:pPr>
      <w:r>
        <w:t xml:space="preserve">RRHH.WhatsApp.Reporting — modelo de solo lectura para las métricas de gerencia (Regla 18), alimentado por eventos.</w:t>
      </w:r>
    </w:p>
    <w:p>
      <w:pPr>
        <w:pStyle w:val="ListParagraph"/>
        <w:numPr>
          <w:ilvl w:val="0"/>
          <w:numId w:val="2"/>
        </w:numPr>
        <w:spacing w:after="80"/>
      </w:pPr>
      <w:r>
        <w:t xml:space="preserve">RRHH.WhatsApp.Frontend — la bandeja del analista (tablero kanban, buscador por DNI, botones de whitelist/blacklist/transferir), consumiendo únicamente la API del proyecto Api.</w:t>
      </w:r>
    </w:p>
    <w:p>
      <w:pPr>
        <w:pStyle w:val="Heading3"/>
        <w:spacing w:after="100" w:before="200"/>
      </w:pPr>
      <w:r>
        <w:t xml:space="preserve">Stack tecnológico</w:t>
      </w:r>
    </w:p>
    <w:p>
      <w:pPr>
        <w:spacing w:after="150"/>
      </w:pPr>
      <w:r>
        <w:t xml:space="preserve">Se prioriza mantenerse en C# de punta a punta, dado que es el lenguaje que ya se usa en el área de Sistemas, y dejar la puerta abierta a reemplazar piezas puntuales sin rediseñar el resto.</w:t>
      </w:r>
    </w:p>
    <w:p>
      <w:pPr>
        <w:pStyle w:val="ListParagraph"/>
        <w:numPr>
          <w:ilvl w:val="0"/>
          <w:numId w:val="2"/>
        </w:numPr>
        <w:spacing w:after="80"/>
      </w:pPr>
      <w:r>
        <w:t xml:space="preserve">Backend (Api + Worker): ASP.NET Core — no es una elección opcional, es el framework que da los controladores/minimal APIs, la inyección de dependencias y el hosting del Worker; viene incluido al elegir .NET.</w:t>
      </w:r>
    </w:p>
    <w:p>
      <w:pPr>
        <w:pStyle w:val="ListParagraph"/>
        <w:numPr>
          <w:ilvl w:val="0"/>
          <w:numId w:val="2"/>
        </w:numPr>
        <w:spacing w:after="80"/>
      </w:pPr>
      <w:r>
        <w:t xml:space="preserve">Acceso a datos: Entity Framework Core, con migraciones versionadas (Sección 9.6.5) — evita escribir SQL a mano y reduce el código repetitivo para un desarrollador que trabaja con apoyo de Claude Code.</w:t>
      </w:r>
    </w:p>
    <w:p>
      <w:pPr>
        <w:pStyle w:val="ListParagraph"/>
        <w:numPr>
          <w:ilvl w:val="0"/>
          <w:numId w:val="2"/>
        </w:numPr>
        <w:spacing w:after="80"/>
      </w:pPr>
      <w:r>
        <w:t xml:space="preserve">Bandeja del analista (Frontend interno): Blazor Server — se mantiene en C#, sin sumar un segundo lenguaje (JS/TS) al proyecto, y trae SignalR integrado de fábrica, que es justo lo que pedía la Sección 9.6.3 para las notificaciones en vivo.</w:t>
      </w:r>
    </w:p>
    <w:p>
      <w:pPr>
        <w:pStyle w:val="ListParagraph"/>
        <w:numPr>
          <w:ilvl w:val="0"/>
          <w:numId w:val="2"/>
        </w:numPr>
        <w:spacing w:after="80"/>
      </w:pPr>
      <w:r>
        <w:t xml:space="preserve">JobForms (formulario público del postulante): por ahora Google Forms, gratuito y sin necesidad de desarrollo propio para lanzar rápido; queda como opción a futuro reemplazarlo por Razor Pages (dentro del mismo proyecto Api) cuando el volumen o el control fino de las Reglas 17 y 20 lo justifiquen.</w:t>
      </w:r>
    </w:p>
    <w:p>
      <w:pPr>
        <w:spacing w:after="150"/>
      </w:pPr>
      <w:r>
        <w:t xml:space="preserve">Mientras el JobForms se mantenga en Google Forms, dos reglas quedan con manejo manual en lugar de automático: la Regla 17 (versión exacta del aviso de privacidad aceptado) se resuelve dejando el texto vigente en la descripción del formulario, sin trazabilidad por versión; y la Regla 20 (vacante cerrada) requiere que el analista desactive manualmente el formulario de Google en vez de que el sistema lo bloquee solo. Ambas quedan resueltas de forma nativa el día que se migre a Razor Pages.</w:t>
      </w:r>
    </w:p>
    <w:p>
      <w:pPr>
        <w:pStyle w:val="Heading2"/>
        <w:spacing w:after="150" w:before="300"/>
      </w:pPr>
      <w:r>
        <w:t xml:space="preserve">9.2 Modelo de datos</w:t>
      </w:r>
    </w:p>
    <w:p>
      <w:pPr>
        <w:spacing w:after="150"/>
      </w:pPr>
      <w:r>
        <w:t xml:space="preserve">Se revisó el modelo inicial contra las 20 reglas de negocio y el flujo completo (kanban incluido). Se agregaron 6 tablas y varios campos que faltaban para que el modelo soporte todas las reglas ya definidas, no solo las tablas transaccionales básicas.</w:t>
      </w:r>
    </w:p>
    <w:p>
      <w:pPr>
        <w:pStyle w:val="Heading3"/>
        <w:spacing w:after="100" w:before="200"/>
      </w:pPr>
      <w:r>
        <w:t xml:space="preserve">Tablas principales</w:t>
      </w:r>
    </w:p>
    <w:p>
      <w:pPr>
        <w:pStyle w:val="ListParagraph"/>
        <w:numPr>
          <w:ilvl w:val="0"/>
          <w:numId w:val="2"/>
        </w:numPr>
        <w:spacing w:after="80"/>
      </w:pPr>
      <w:r>
        <w:t xml:space="preserve">Cuentas: CuentaId, Nombre, CódigoJobForms, Activo.</w:t>
      </w:r>
    </w:p>
    <w:p>
      <w:pPr>
        <w:pStyle w:val="ListParagraph"/>
        <w:numPr>
          <w:ilvl w:val="0"/>
          <w:numId w:val="2"/>
        </w:numPr>
        <w:spacing w:after="80"/>
      </w:pPr>
      <w:r>
        <w:t xml:space="preserve">Analistas: AnalistaId, Nombre, Email, Rol (Analista / Sistemas), Activo — el campo Rol distingue al área de Sistemas, que tiene visibilidad total (Regla 4), de un analista normal.</w:t>
      </w:r>
    </w:p>
    <w:p>
      <w:pPr>
        <w:pStyle w:val="ListParagraph"/>
        <w:numPr>
          <w:ilvl w:val="0"/>
          <w:numId w:val="2"/>
        </w:numPr>
        <w:spacing w:after="80"/>
      </w:pPr>
      <w:r>
        <w:t xml:space="preserve">AnalistaCuenta: AnalistaId, CuentaId, EsBackup — relación muchos a muchos entre analistas y cuentas.</w:t>
      </w:r>
    </w:p>
    <w:p>
      <w:pPr>
        <w:pStyle w:val="ListParagraph"/>
        <w:numPr>
          <w:ilvl w:val="0"/>
          <w:numId w:val="2"/>
        </w:numPr>
        <w:spacing w:after="80"/>
      </w:pPr>
      <w:r>
        <w:t xml:space="preserve">Ausencias: AusenciaId, AnalistaId, FechaInicio, FechaFin, Motivo — soporta la Regla 14.</w:t>
      </w:r>
    </w:p>
    <w:p>
      <w:pPr>
        <w:pStyle w:val="ListParagraph"/>
        <w:numPr>
          <w:ilvl w:val="0"/>
          <w:numId w:val="2"/>
        </w:numPr>
        <w:spacing w:after="80"/>
      </w:pPr>
      <w:r>
        <w:t xml:space="preserve">HC (vacantes): HCId, CuentaId, Título, Estado (Abierta/Cerrada), FechaCreación — soporta la Regla 20.</w:t>
      </w:r>
    </w:p>
    <w:p>
      <w:pPr>
        <w:pStyle w:val="ListParagraph"/>
        <w:numPr>
          <w:ilvl w:val="0"/>
          <w:numId w:val="2"/>
        </w:numPr>
        <w:spacing w:after="80"/>
      </w:pPr>
      <w:r>
        <w:t xml:space="preserve">Postulantes: PostulanteId, DNI (único), Nombre, Teléfono, FechaRegistro.</w:t>
      </w:r>
    </w:p>
    <w:p>
      <w:pPr>
        <w:pStyle w:val="ListParagraph"/>
        <w:numPr>
          <w:ilvl w:val="0"/>
          <w:numId w:val="2"/>
        </w:numPr>
        <w:spacing w:after="80"/>
      </w:pPr>
      <w:r>
        <w:t xml:space="preserve">Conversaciones: ConversaciónId, PostulanteId, CuentaId (nullable), AnalistaAsignadoId, EtapaKanbanId, Estado (Activa / Escalada / PendienteClasificar / Cerrada / Archivada), FechaÚltimoMensaje, FechaÚltimaRespuestaAnalista, FechaCreación — el CuentaId nullable y el estado PendienteClasificar soportan la bandeja general de la Regla 19; FechaÚltimaRespuestaAnalista evita recalcular el escalamiento (Regla 2) recorriendo toda la tabla de Mensajes.</w:t>
      </w:r>
    </w:p>
    <w:p>
      <w:pPr>
        <w:pStyle w:val="ListParagraph"/>
        <w:numPr>
          <w:ilvl w:val="0"/>
          <w:numId w:val="2"/>
        </w:numPr>
        <w:spacing w:after="80"/>
      </w:pPr>
      <w:r>
        <w:t xml:space="preserve">Mensajes: MensajeId, ConversaciónId, Dirección (Entrante/Saliente), Contenido, PlantillaId (FK, nullable), FechaEnvío, EstadoEntrega.</w:t>
      </w:r>
    </w:p>
    <w:p>
      <w:pPr>
        <w:pStyle w:val="ListParagraph"/>
        <w:numPr>
          <w:ilvl w:val="0"/>
          <w:numId w:val="2"/>
        </w:numPr>
        <w:spacing w:after="80"/>
      </w:pPr>
      <w:r>
        <w:t xml:space="preserve">JobFormsRespuestas: RespuestaId, PostulanteId, HCId, DatosJson, CvUrl, ConsentimientoAceptado, VersionAvisoPrivacidad, FechaConsentimiento, FechaEnvío — el campo VersionAvisoPrivacidad deja trazabilidad legal de qué aviso exacto aceptó el postulante (Regla 17).</w:t>
      </w:r>
    </w:p>
    <w:p>
      <w:pPr>
        <w:pStyle w:val="ListParagraph"/>
        <w:numPr>
          <w:ilvl w:val="0"/>
          <w:numId w:val="2"/>
        </w:numPr>
        <w:spacing w:after="80"/>
      </w:pPr>
      <w:r>
        <w:t xml:space="preserve">EstadosPostulanteCuenta: EstadoId, PostulanteId, CuentaId, Tipo (Whitelist/Blacklist), Motivo, AnalistaId, Fecha — soporta la Regla 7.</w:t>
      </w:r>
    </w:p>
    <w:p>
      <w:pPr>
        <w:pStyle w:val="ListParagraph"/>
        <w:numPr>
          <w:ilvl w:val="0"/>
          <w:numId w:val="2"/>
        </w:numPr>
        <w:spacing w:after="80"/>
      </w:pPr>
      <w:r>
        <w:t xml:space="preserve">Transferencias: TransferenciaId, ConversaciónId, AnalistaOrigenId, AnalistaDestinoId, Urgente, Estado (Pendiente/Aceptada/Rechazada), Fecha — el campo Estado permite distinguir una transferencia enviada de una efectivamente tomada por el siguiente analista (Regla 8).</w:t>
      </w:r>
    </w:p>
    <w:p>
      <w:pPr>
        <w:pStyle w:val="ListParagraph"/>
        <w:numPr>
          <w:ilvl w:val="0"/>
          <w:numId w:val="2"/>
        </w:numPr>
        <w:spacing w:after="80"/>
      </w:pPr>
      <w:r>
        <w:t xml:space="preserve">EventosSistema: EventoId, Tipo, Payload (json), FechaCreación, Procesado — tabla outbox para recordatorios, escalamientos y alimentar Reporting.</w:t>
      </w:r>
    </w:p>
    <w:p>
      <w:pPr>
        <w:pStyle w:val="ListParagraph"/>
        <w:numPr>
          <w:ilvl w:val="0"/>
          <w:numId w:val="2"/>
        </w:numPr>
        <w:spacing w:after="80"/>
      </w:pPr>
      <w:r>
        <w:t xml:space="preserve">ConfiguraciónReglas: Clave, Valor, Descripción — parámetros ajustables (2h, 3 días, 90 días, umbrales) sin tocar código.</w:t>
      </w:r>
    </w:p>
    <w:p>
      <w:pPr>
        <w:pStyle w:val="Heading3"/>
        <w:spacing w:after="100" w:before="200"/>
      </w:pPr>
      <w:r>
        <w:t xml:space="preserve">Tablas agregadas en esta revisión</w:t>
      </w:r>
    </w:p>
    <w:p>
      <w:pPr>
        <w:pStyle w:val="ListParagraph"/>
        <w:numPr>
          <w:ilvl w:val="0"/>
          <w:numId w:val="2"/>
        </w:numPr>
        <w:spacing w:after="80"/>
      </w:pPr>
      <w:r>
        <w:t xml:space="preserve">Plantillas: PlantillaId, Nombre, Categoría (Utilidad/Marketing/Servicio), TextoAprobado, Activa — catálogo de plantillas aprobadas por Meta, referenciado desde Mensajes.PlantillaId; sin esta tabla no hay forma de enviar los mensajes de fuera de horario (Regla 3), recordatorios (Regla 9), cierre automatizado (Regla 12) ni respetar la ventana de 24h (Regla 15).</w:t>
      </w:r>
    </w:p>
    <w:p>
      <w:pPr>
        <w:pStyle w:val="ListParagraph"/>
        <w:numPr>
          <w:ilvl w:val="0"/>
          <w:numId w:val="2"/>
        </w:numPr>
        <w:spacing w:after="80"/>
      </w:pPr>
      <w:r>
        <w:t xml:space="preserve">JobFormsInvitaciones: InvitaciónId, ConversaciónId, PostulanteId, HCId, FechaEnvíoLink, RecordatorioEnviado, FechaRecordatorio, AvisoAnalistaEnviado, FechaAvisoAnalista, Completado, FechaCompletado — registra el link enviado y su seguimiento; sin ella el sistema no puede detectar quién no completó el formulario para disparar el recordatorio de 24h y el aviso de 48h (Regla 9).</w:t>
      </w:r>
    </w:p>
    <w:p>
      <w:pPr>
        <w:pStyle w:val="ListParagraph"/>
        <w:numPr>
          <w:ilvl w:val="0"/>
          <w:numId w:val="2"/>
        </w:numPr>
        <w:spacing w:after="80"/>
      </w:pPr>
      <w:r>
        <w:t xml:space="preserve">HCCamposOpcionales: CampoId, HCId, NombreCampo, Tipo, Activo — catálogo de campos opcionales que el analista puede activar por HC, según lo pedido por la gerencia al definir el JobForms.</w:t>
      </w:r>
    </w:p>
    <w:p>
      <w:pPr>
        <w:pStyle w:val="ListParagraph"/>
        <w:numPr>
          <w:ilvl w:val="0"/>
          <w:numId w:val="2"/>
        </w:numPr>
        <w:spacing w:after="80"/>
      </w:pPr>
      <w:r>
        <w:t xml:space="preserve">EtapasKanban: EtapaId, Nombre, Orden — catálogo de etapas (Postulante nuevo, En revisión, Entrevista, Contratado, Descartado), referenciado desde Conversaciones.EtapaKanbanId; es la tabla que le da soporte real al tablero visual de la Sección 7 y a la Regla 13.</w:t>
      </w:r>
    </w:p>
    <w:p>
      <w:pPr>
        <w:pStyle w:val="ListParagraph"/>
        <w:numPr>
          <w:ilvl w:val="0"/>
          <w:numId w:val="2"/>
        </w:numPr>
        <w:spacing w:after="80"/>
      </w:pPr>
      <w:r>
        <w:t xml:space="preserve">HorarioAtencion: HorarioId, CuentaId (nullable, general si es null), DíaSemana, HoraInicio, HoraFin — configuración del horario laboral que dispara el mensaje automático de la Regla 3.</w:t>
      </w:r>
    </w:p>
    <w:p>
      <w:pPr>
        <w:pStyle w:val="ListParagraph"/>
        <w:numPr>
          <w:ilvl w:val="0"/>
          <w:numId w:val="2"/>
        </w:numPr>
        <w:spacing w:after="80"/>
      </w:pPr>
      <w:r>
        <w:t xml:space="preserve">Auditoria: AuditoríaId, EntidadTipo, EntidadId, AnalistaId, Acción, Fecha, Detalle — trazabilidad de cambios (movimientos de kanban, marcas de blacklist, transferencias); no es indispensable para el primer lanzamiento, pero facilita el soporte y la auditoría que exige la Regla 4.</w:t>
      </w:r>
    </w:p>
    <w:p>
      <w:pPr>
        <w:pStyle w:val="Heading2"/>
        <w:spacing w:after="150" w:before="300"/>
      </w:pPr>
      <w:r>
        <w:t xml:space="preserve">9.3 Contratos principales (interfaces)</w:t>
      </w:r>
    </w:p>
    <w:p>
      <w:pPr>
        <w:spacing w:after="150"/>
      </w:pPr>
      <w:r>
        <w:t xml:space="preserve">Se agregaron 4 interfaces nuevas y varios métodos a las existentes para que todas las tablas incorporadas en la Sección 9.2 tengan un servicio que las use — sin esto, tablas como Plantillas, JobFormsInvitaciones, Ausencias y EtapasKanban quedarían sin ninguna lógica que las consuma.</w:t>
      </w:r>
    </w:p>
    <w:p>
      <w:pPr>
        <w:pStyle w:val="ListParagraph"/>
        <w:numPr>
          <w:ilvl w:val="0"/>
          <w:numId w:val="2"/>
        </w:numPr>
        <w:spacing w:after="80"/>
      </w:pPr>
      <w:r>
        <w:t xml:space="preserve">IWhatsAppProvider: EnviarMensaje(), RecibirWebhook() — una implementación por proveedor (360dialog, Meta Cloud API); es la aplicación del patrón Adapter.</w:t>
      </w:r>
    </w:p>
    <w:p>
      <w:pPr>
        <w:pStyle w:val="ListParagraph"/>
        <w:numPr>
          <w:ilvl w:val="0"/>
          <w:numId w:val="2"/>
        </w:numPr>
        <w:spacing w:after="80"/>
      </w:pPr>
      <w:r>
        <w:t xml:space="preserve">IReglaNegocio: Evaluar(contexto) — cada una de las 20 reglas de negocio implementa esta interfaz; el motor de reglas las invoca en orden de prioridad (patrón Strategy).</w:t>
      </w:r>
    </w:p>
    <w:p>
      <w:pPr>
        <w:pStyle w:val="ListParagraph"/>
        <w:numPr>
          <w:ilvl w:val="0"/>
          <w:numId w:val="2"/>
        </w:numPr>
        <w:spacing w:after="80"/>
      </w:pPr>
      <w:r>
        <w:t xml:space="preserve">IMotorReglas: Procesar(evento) — orquesta la evaluación de reglas y publica los eventos resultantes, sin enviar mensajes directamente.</w:t>
      </w:r>
    </w:p>
    <w:p>
      <w:pPr>
        <w:pStyle w:val="ListParagraph"/>
        <w:numPr>
          <w:ilvl w:val="0"/>
          <w:numId w:val="2"/>
        </w:numPr>
        <w:spacing w:after="80"/>
      </w:pPr>
      <w:r>
        <w:t xml:space="preserve">IConversacionService: ObtenerOCrear(), AsignarAnalista(), Escalar(), Transferir(), MoverEtapaKanban(), MarcarEstado() — único punto de acceso a la tabla de Conversaciones; se agregaron MoverEtapaKanban() para la Regla 13 y MarcarEstado() (whitelist/blacklist) para la Regla 7, que antes no tenían un método explícito detrás del endpoint correspondiente.</w:t>
      </w:r>
    </w:p>
    <w:p>
      <w:pPr>
        <w:pStyle w:val="ListParagraph"/>
        <w:numPr>
          <w:ilvl w:val="0"/>
          <w:numId w:val="2"/>
        </w:numPr>
        <w:spacing w:after="80"/>
      </w:pPr>
      <w:r>
        <w:t xml:space="preserve">IPostulanteService: BuscarPorDni(), RegistrarDesdeFormulario(), ObtenerHistorial() — se agregó ObtenerHistorial() porque el flujo (Sección 6) requiere mostrar el historial previo del postulante cuando su DNI ya existe.</w:t>
      </w:r>
    </w:p>
    <w:p>
      <w:pPr>
        <w:pStyle w:val="ListParagraph"/>
        <w:numPr>
          <w:ilvl w:val="0"/>
          <w:numId w:val="2"/>
        </w:numPr>
        <w:spacing w:after="80"/>
      </w:pPr>
      <w:r>
        <w:t xml:space="preserve">IJobFormsService: ValidarEnvio(), AlmacenarCv(), ValidarVacanteActiva(), ValidarConsentimiento() — se separaron ValidarVacanteActiva() (Regla 20) y ValidarConsentimiento() (Regla 17) de la validación genérica, para que cada regla sea explícita y testeable por separado.</w:t>
      </w:r>
    </w:p>
    <w:p>
      <w:pPr>
        <w:pStyle w:val="ListParagraph"/>
        <w:numPr>
          <w:ilvl w:val="0"/>
          <w:numId w:val="2"/>
        </w:numPr>
        <w:spacing w:after="80"/>
      </w:pPr>
      <w:r>
        <w:t xml:space="preserve">IReportingReadModel: ObtenerMetricas() — expone tiempos de respuesta, tasa de conversión y actividad por analista (Regla 18), sin tocar las tablas transaccionales.</w:t>
      </w:r>
    </w:p>
    <w:p>
      <w:pPr>
        <w:pStyle w:val="ListParagraph"/>
        <w:numPr>
          <w:ilvl w:val="0"/>
          <w:numId w:val="2"/>
        </w:numPr>
        <w:spacing w:after="80"/>
      </w:pPr>
      <w:r>
        <w:t xml:space="preserve">IPlantillaService (nueva): ObtenerPlantillaParaEvento(), ValidarVentana24h() — resuelve qué plantilla aprobada por Meta usar y valida si la conversación sigue dentro de la ventana de 24h antes de permitir texto libre; sin esta interfaz las Reglas 3, 9, 12 y 15 no tienen quién las ejecute.</w:t>
      </w:r>
    </w:p>
    <w:p>
      <w:pPr>
        <w:pStyle w:val="ListParagraph"/>
        <w:numPr>
          <w:ilvl w:val="0"/>
          <w:numId w:val="2"/>
        </w:numPr>
        <w:spacing w:after="80"/>
      </w:pPr>
      <w:r>
        <w:t xml:space="preserve">IJobFormsInvitacionService (nueva): CrearInvitacion(), MarcarRecordatorioEnviado(), MarcarAvisoAnalistaEnviado(), MarcarCompletado() — registra el envío del link del JobForms y su seguimiento; es lo que el Worker consulta para disparar el recordatorio de 24h y el aviso de 48h (Regla 9).</w:t>
      </w:r>
    </w:p>
    <w:p>
      <w:pPr>
        <w:pStyle w:val="ListParagraph"/>
        <w:numPr>
          <w:ilvl w:val="0"/>
          <w:numId w:val="2"/>
        </w:numPr>
        <w:spacing w:after="80"/>
      </w:pPr>
      <w:r>
        <w:t xml:space="preserve">IAusenciaService (nueva): RegistrarAusencia(), EstaAusente() — consultado antes de asignar una conversación, para soportar la Regla 14.</w:t>
      </w:r>
    </w:p>
    <w:p>
      <w:pPr>
        <w:pStyle w:val="ListParagraph"/>
        <w:numPr>
          <w:ilvl w:val="0"/>
          <w:numId w:val="2"/>
        </w:numPr>
        <w:spacing w:after="80"/>
      </w:pPr>
      <w:r>
        <w:t xml:space="preserve">IHorarioAtencionService (nueva): EstaEnHorario() — valida si un mensaje entrante llega dentro del horario laboral configurado, para disparar la Regla 3.</w:t>
      </w:r>
    </w:p>
    <w:p>
      <w:pPr>
        <w:pStyle w:val="Heading2"/>
        <w:spacing w:after="150" w:before="300"/>
      </w:pPr>
      <w:r>
        <w:t xml:space="preserve">9.4 Endpoints principales</w:t>
      </w:r>
    </w:p>
    <w:p>
      <w:pPr>
        <w:spacing w:after="150"/>
      </w:pPr>
      <w:r>
        <w:t xml:space="preserve">Se agregaron endpoints para operaciones que ya estaban definidas en las reglas de negocio pero no tenían ninguna ruta que las expusiera (mover el kanban, responder una transferencia, cerrar una vacante, registrar una ausencia).</w:t>
      </w:r>
    </w:p>
    <w:p>
      <w:pPr>
        <w:pStyle w:val="Heading3"/>
        <w:spacing w:after="100" w:before="200"/>
      </w:pPr>
      <w:r>
        <w:t xml:space="preserve">Núcleo del flujo</w:t>
      </w:r>
    </w:p>
    <w:p>
      <w:pPr>
        <w:pStyle w:val="ListParagraph"/>
        <w:numPr>
          <w:ilvl w:val="0"/>
          <w:numId w:val="2"/>
        </w:numPr>
        <w:spacing w:after="80"/>
      </w:pPr>
      <w:r>
        <w:t xml:space="preserve">POST /webhook/whatsapp — recibe los eventos entrantes del proveedor (Gateway).</w:t>
      </w:r>
    </w:p>
    <w:p>
      <w:pPr>
        <w:pStyle w:val="ListParagraph"/>
        <w:numPr>
          <w:ilvl w:val="0"/>
          <w:numId w:val="2"/>
        </w:numPr>
        <w:spacing w:after="80"/>
      </w:pPr>
      <w:r>
        <w:t xml:space="preserve">GET /conversaciones?analistaId= — lista de conversaciones para la bandeja de un analista.</w:t>
      </w:r>
    </w:p>
    <w:p>
      <w:pPr>
        <w:pStyle w:val="ListParagraph"/>
        <w:numPr>
          <w:ilvl w:val="0"/>
          <w:numId w:val="2"/>
        </w:numPr>
        <w:spacing w:after="80"/>
      </w:pPr>
      <w:r>
        <w:t xml:space="preserve">GET /conversaciones/buscar?dni= — buscador por DNI (Sección 7).</w:t>
      </w:r>
    </w:p>
    <w:p>
      <w:pPr>
        <w:pStyle w:val="ListParagraph"/>
        <w:numPr>
          <w:ilvl w:val="0"/>
          <w:numId w:val="2"/>
        </w:numPr>
        <w:spacing w:after="80"/>
      </w:pPr>
      <w:r>
        <w:t xml:space="preserve">GET /postulantes/{dni}/historial — historial completo del postulante a través de todas las cuentas a las que ha postulado.</w:t>
      </w:r>
    </w:p>
    <w:p>
      <w:pPr>
        <w:pStyle w:val="ListParagraph"/>
        <w:numPr>
          <w:ilvl w:val="0"/>
          <w:numId w:val="2"/>
        </w:numPr>
        <w:spacing w:after="80"/>
      </w:pPr>
      <w:r>
        <w:t xml:space="preserve">POST /conversaciones/{id}/transferir — transferencia manual a otro analista (Regla 8).</w:t>
      </w:r>
    </w:p>
    <w:p>
      <w:pPr>
        <w:pStyle w:val="ListParagraph"/>
        <w:numPr>
          <w:ilvl w:val="0"/>
          <w:numId w:val="2"/>
        </w:numPr>
        <w:spacing w:after="80"/>
      </w:pPr>
      <w:r>
        <w:t xml:space="preserve">POST /transferencias/{id}/responder — el analista destino acepta o rechaza la transferencia recibida (Regla 8).</w:t>
      </w:r>
    </w:p>
    <w:p>
      <w:pPr>
        <w:pStyle w:val="ListParagraph"/>
        <w:numPr>
          <w:ilvl w:val="0"/>
          <w:numId w:val="2"/>
        </w:numPr>
        <w:spacing w:after="80"/>
      </w:pPr>
      <w:r>
        <w:t xml:space="preserve">POST /conversaciones/{id}/marcar — whitelist o blacklist (Regla 7).</w:t>
      </w:r>
    </w:p>
    <w:p>
      <w:pPr>
        <w:pStyle w:val="ListParagraph"/>
        <w:numPr>
          <w:ilvl w:val="0"/>
          <w:numId w:val="2"/>
        </w:numPr>
        <w:spacing w:after="80"/>
      </w:pPr>
      <w:r>
        <w:t xml:space="preserve">POST /conversaciones/{id}/etapa — mueve la conversación entre las etapas del tablero kanban (Regla 13).</w:t>
      </w:r>
    </w:p>
    <w:p>
      <w:pPr>
        <w:pStyle w:val="ListParagraph"/>
        <w:numPr>
          <w:ilvl w:val="0"/>
          <w:numId w:val="2"/>
        </w:numPr>
        <w:spacing w:after="80"/>
      </w:pPr>
      <w:r>
        <w:t xml:space="preserve">POST /jobforms/webhook-google — recibe la notificación que envía Google Apps Script cuando un postulante completa el formulario en Google Forms, y crea el registro correspondiente en JobFormsRespuestas; es el endpoint activo mientras el JobForms viva en Google Forms.</w:t>
      </w:r>
    </w:p>
    <w:p>
      <w:pPr>
        <w:pStyle w:val="ListParagraph"/>
        <w:numPr>
          <w:ilvl w:val="0"/>
          <w:numId w:val="2"/>
        </w:numPr>
        <w:spacing w:after="80"/>
      </w:pPr>
      <w:r>
        <w:t xml:space="preserve">POST /jobforms/{hcId}/enviar — endpoint público reservado para cuando el formulario se migre a Razor Pages; usa la misma estructura de datos que el webhook de Google, para que el cambio no afecte al resto del sistema.</w:t>
      </w:r>
    </w:p>
    <w:p>
      <w:pPr>
        <w:pStyle w:val="ListParagraph"/>
        <w:numPr>
          <w:ilvl w:val="0"/>
          <w:numId w:val="2"/>
        </w:numPr>
        <w:spacing w:after="80"/>
      </w:pPr>
      <w:r>
        <w:t xml:space="preserve">GET /reportes/metricas — panel de gerencia (Regla 18).</w:t>
      </w:r>
    </w:p>
    <w:p>
      <w:pPr>
        <w:pStyle w:val="Heading3"/>
        <w:spacing w:after="100" w:before="200"/>
      </w:pPr>
      <w:r>
        <w:t xml:space="preserve">Administración y configuración</w:t>
      </w:r>
    </w:p>
    <w:p>
      <w:pPr>
        <w:pStyle w:val="ListParagraph"/>
        <w:numPr>
          <w:ilvl w:val="0"/>
          <w:numId w:val="2"/>
        </w:numPr>
        <w:spacing w:after="80"/>
      </w:pPr>
      <w:r>
        <w:t xml:space="preserve">POST /hc y PATCH /hc/{id}/cerrar — creación y cierre de vacantes; sin esto, el estado de HC nunca cambiaría a "Cerrada" y la Regla 20 no podría activarse en la práctica.</w:t>
      </w:r>
    </w:p>
    <w:p>
      <w:pPr>
        <w:pStyle w:val="ListParagraph"/>
        <w:numPr>
          <w:ilvl w:val="0"/>
          <w:numId w:val="2"/>
        </w:numPr>
        <w:spacing w:after="80"/>
      </w:pPr>
      <w:r>
        <w:t xml:space="preserve">POST /analistas/{id}/ausencias — registrar un período de ausencia planificada (Regla 14).</w:t>
      </w:r>
    </w:p>
    <w:p>
      <w:pPr>
        <w:pStyle w:val="ListParagraph"/>
        <w:numPr>
          <w:ilvl w:val="0"/>
          <w:numId w:val="2"/>
        </w:numPr>
        <w:spacing w:after="80"/>
      </w:pPr>
      <w:r>
        <w:t xml:space="preserve">GET /analistas/{id}/cuentas — ver o editar las cuentas asignadas a un analista y quién es su backup, sin tocar SQL Server directamente.</w:t>
      </w:r>
    </w:p>
    <w:p>
      <w:pPr>
        <w:pStyle w:val="ListParagraph"/>
        <w:numPr>
          <w:ilvl w:val="0"/>
          <w:numId w:val="2"/>
        </w:numPr>
        <w:spacing w:after="80"/>
      </w:pPr>
      <w:r>
        <w:t xml:space="preserve">GET /plantillas — listar el catálogo de plantillas aprobadas, para referencia y soporte.</w:t>
      </w:r>
    </w:p>
    <w:p>
      <w:pPr>
        <w:pStyle w:val="ListParagraph"/>
        <w:numPr>
          <w:ilvl w:val="0"/>
          <w:numId w:val="2"/>
        </w:numPr>
        <w:spacing w:after="80"/>
      </w:pPr>
      <w:r>
        <w:t xml:space="preserve">GET / PUT /configuracion/horario — administrar el horario de atención (Regla 3) desde la aplicación.</w:t>
      </w:r>
    </w:p>
    <w:p>
      <w:pPr>
        <w:pStyle w:val="Heading2"/>
        <w:spacing w:after="150" w:before="300"/>
      </w:pPr>
      <w:r>
        <w:t xml:space="preserve">9.5 Por qué un Worker separado</w:t>
      </w:r>
    </w:p>
    <w:p>
      <w:pPr>
        <w:spacing w:after="150"/>
      </w:pPr>
      <w:r>
        <w:t xml:space="preserve">Buena parte de las reglas de negocio están disparadas por tiempo, no por una petición del usuario: el escalamiento a las 2 horas (Regla 2), el recordatorio a las 24 horas y el aviso a las 48 horas (Regla 9), el archivado a los 90 días (Regla 16) y el chequeo de ausencias planificadas (Regla 14). Separar esta lógica en un proceso Worker independiente evita mezclar código de "atender una petición" con código de "vigilar el paso del tiempo", y permite escalarlo o pausarlo sin afectar la API.</w:t>
      </w:r>
    </w:p>
    <w:p>
      <w:pPr>
        <w:pStyle w:val="Heading2"/>
        <w:spacing w:after="150" w:before="300"/>
      </w:pPr>
      <w:r>
        <w:t xml:space="preserve">9.6 Consideraciones adicionales de diseño</w:t>
      </w:r>
    </w:p>
    <w:p>
      <w:pPr>
        <w:spacing w:after="150"/>
      </w:pPr>
      <w:r>
        <w:t xml:space="preserve">Surgieron al simular mentalmente el sistema completo en funcionamiento — casos como reintentos de Meta, dos procesos modificando la misma conversación a la vez, o un analista intentando iniciar sesión — que el diseño de las Secciones 9.1 a 9.5 no cubría todavía. Se agrupan por tipo; varias implican campos adicionales sobre las tablas ya definidas en la Sección 9.2.</w:t>
      </w:r>
    </w:p>
    <w:p>
      <w:pPr>
        <w:pStyle w:val="Heading3"/>
        <w:spacing w:after="100" w:before="200"/>
      </w:pPr>
      <w:r>
        <w:t xml:space="preserve">9.6.1 Seguridad</w:t>
      </w:r>
    </w:p>
    <w:p>
      <w:pPr>
        <w:pStyle w:val="ListParagraph"/>
        <w:numPr>
          <w:ilvl w:val="0"/>
          <w:numId w:val="2"/>
        </w:numPr>
        <w:spacing w:after="80"/>
      </w:pPr>
      <w:r>
        <w:t xml:space="preserve">Autenticación de analistas: la Bandeja no tiene hoy ningún mecanismo de login. Debe definirse si se implementa con JWT propio o integrando el directorio corporativo (Active Directory / SSO) que ya use la empresa.</w:t>
      </w:r>
    </w:p>
    <w:p>
      <w:pPr>
        <w:pStyle w:val="ListParagraph"/>
        <w:numPr>
          <w:ilvl w:val="0"/>
          <w:numId w:val="2"/>
        </w:numPr>
        <w:spacing w:after="80"/>
      </w:pPr>
      <w:r>
        <w:t xml:space="preserve">IDs públicos no predecibles: los enlaces del JobForms no deben exponer el HCId interno (secuencial); deben usar un token aleatorio (ej. Guid), para que no se puedan enumerar vacantes de otras cuentas cambiando el número en la URL.</w:t>
      </w:r>
    </w:p>
    <w:p>
      <w:pPr>
        <w:pStyle w:val="ListParagraph"/>
        <w:numPr>
          <w:ilvl w:val="0"/>
          <w:numId w:val="2"/>
        </w:numPr>
        <w:spacing w:after="80"/>
      </w:pPr>
      <w:r>
        <w:t xml:space="preserve">Validación y escaneo de CVs: el endpoint público de JobForms debe restringir tipo de archivo y tamaño máximo, y pasar los adjuntos por un escaneo antivirus antes de guardarlos en el almacenamiento de blobs.</w:t>
      </w:r>
    </w:p>
    <w:p>
      <w:pPr>
        <w:pStyle w:val="ListParagraph"/>
        <w:numPr>
          <w:ilvl w:val="0"/>
          <w:numId w:val="2"/>
        </w:numPr>
        <w:spacing w:after="80"/>
      </w:pPr>
      <w:r>
        <w:t xml:space="preserve">Rate limiting en el endpoint público: sin un límite de solicitudes, /jobforms/{hcId}/enviar queda expuesto a abuso o spam automatizado, al ser el único endpoint accesible desde internet sin autenticación.</w:t>
      </w:r>
    </w:p>
    <w:p>
      <w:pPr>
        <w:pStyle w:val="ListParagraph"/>
        <w:numPr>
          <w:ilvl w:val="0"/>
          <w:numId w:val="2"/>
        </w:numPr>
        <w:spacing w:after="80"/>
      </w:pPr>
      <w:r>
        <w:t xml:space="preserve">Gestión de secretos: las credenciales del proveedor de WhatsApp y la cadena de conexión a SQL Server deben vivir fuera del código, en un almacén como Azure Key Vault o variables de entorno por ambiente.</w:t>
      </w:r>
    </w:p>
    <w:p>
      <w:pPr>
        <w:pStyle w:val="ListParagraph"/>
        <w:numPr>
          <w:ilvl w:val="0"/>
          <w:numId w:val="2"/>
        </w:numPr>
        <w:spacing w:after="80"/>
      </w:pPr>
      <w:r>
        <w:t xml:space="preserve">Eliminación real de datos del postulante: agregar el método AnonimizarDatos() a IPostulanteService y el endpoint DELETE /postulantes/{dni}, para poder cumplir en la práctica lo que la Regla 17 promete sobre solicitudes de eliminación.</w:t>
      </w:r>
    </w:p>
    <w:p>
      <w:pPr>
        <w:pStyle w:val="Heading3"/>
        <w:spacing w:after="100" w:before="200"/>
      </w:pPr>
      <w:r>
        <w:t xml:space="preserve">9.6.2 Confiabilidad y trazabilidad</w:t>
      </w:r>
    </w:p>
    <w:p>
      <w:pPr>
        <w:pStyle w:val="ListParagraph"/>
        <w:numPr>
          <w:ilvl w:val="0"/>
          <w:numId w:val="2"/>
        </w:numPr>
        <w:spacing w:after="80"/>
      </w:pPr>
      <w:r>
        <w:t xml:space="preserve">Idempotencia real: agregar el campo ProviderMessageId (único) a la tabla Mensajes, para detectar y descartar mensajes que Meta reintenta entregar.</w:t>
      </w:r>
    </w:p>
    <w:p>
      <w:pPr>
        <w:pStyle w:val="ListParagraph"/>
        <w:numPr>
          <w:ilvl w:val="0"/>
          <w:numId w:val="2"/>
        </w:numPr>
        <w:spacing w:after="80"/>
      </w:pPr>
      <w:r>
        <w:t xml:space="preserve">Reintentos y fallos en la cola: agregar los campos IntentosProcesamiento, ÚltimoError y un estado "Fallido" a EventosSistema, para que un evento que falla repetidamente no se pierda en silencio.</w:t>
      </w:r>
    </w:p>
    <w:p>
      <w:pPr>
        <w:pStyle w:val="ListParagraph"/>
        <w:numPr>
          <w:ilvl w:val="0"/>
          <w:numId w:val="2"/>
        </w:numPr>
        <w:spacing w:after="80"/>
      </w:pPr>
      <w:r>
        <w:t xml:space="preserve">Control de concurrencia: agregar un campo de tipo RowVersion a Conversaciones y Transferencias, para evitar que el Worker y un analista modifiquen el mismo registro al mismo tiempo sin darse cuenta (ej. el Worker escalando justo cuando el analista responde).</w:t>
      </w:r>
    </w:p>
    <w:p>
      <w:pPr>
        <w:pStyle w:val="ListParagraph"/>
        <w:numPr>
          <w:ilvl w:val="0"/>
          <w:numId w:val="2"/>
        </w:numPr>
        <w:spacing w:after="80"/>
      </w:pPr>
      <w:r>
        <w:t xml:space="preserve">CorrelationId: agregar este campo a Mensajes y EventosSistema, para poder rastrear un mensaje específico de principio a fin del flujo cuando algo falla.</w:t>
      </w:r>
    </w:p>
    <w:p>
      <w:pPr>
        <w:pStyle w:val="ListParagraph"/>
        <w:numPr>
          <w:ilvl w:val="0"/>
          <w:numId w:val="2"/>
        </w:numPr>
        <w:spacing w:after="80"/>
      </w:pPr>
      <w:r>
        <w:t xml:space="preserve">Health check del Worker: exponer un endpoint de salud (GET /health) y una alerta si el Worker deja de procesar — varias reglas (2h, 24h, 48h, 90 días) dependen enteramente de que este proceso siga corriendo, y hoy nada detecta si se detiene.</w:t>
      </w:r>
    </w:p>
    <w:p>
      <w:pPr>
        <w:pStyle w:val="Heading3"/>
        <w:spacing w:after="100" w:before="200"/>
      </w:pPr>
      <w:r>
        <w:t xml:space="preserve">9.6.3 Experiencia en tiempo real de la bandeja</w:t>
      </w:r>
    </w:p>
    <w:p>
      <w:pPr>
        <w:pStyle w:val="ListParagraph"/>
        <w:numPr>
          <w:ilvl w:val="0"/>
          <w:numId w:val="2"/>
        </w:numPr>
        <w:spacing w:after="80"/>
      </w:pPr>
      <w:r>
        <w:t xml:space="preserve">Canal en vivo (ej. SignalR) hacia el proyecto Frontend, para que conversaciones nuevas, escalamientos y transferencias aparezcan sin que el analista tenga que refrescar manualmente — necesario para que la bandeja funcione como la experiencia tipo iVentas descrita en la Sección 7.</w:t>
      </w:r>
    </w:p>
    <w:p>
      <w:pPr>
        <w:pStyle w:val="Heading3"/>
        <w:spacing w:after="100" w:before="200"/>
      </w:pPr>
      <w:r>
        <w:t xml:space="preserve">9.6.4 Control de envío hacia Meta</w:t>
      </w:r>
    </w:p>
    <w:p>
      <w:pPr>
        <w:pStyle w:val="ListParagraph"/>
        <w:numPr>
          <w:ilvl w:val="0"/>
          <w:numId w:val="2"/>
        </w:numPr>
        <w:spacing w:after="80"/>
      </w:pPr>
      <w:r>
        <w:t xml:space="preserve">El Adaptador (IWhatsAppProvider) debe limitar también la velocidad de envío saliente, no solo recibir mensajes entrantes — evita repetir el patrón de uso que causó el bloqueo original de las cuentas (Sección 2.4).</w:t>
      </w:r>
    </w:p>
    <w:p>
      <w:pPr>
        <w:pStyle w:val="Heading3"/>
        <w:spacing w:after="100" w:before="200"/>
      </w:pPr>
      <w:r>
        <w:t xml:space="preserve">9.6.5 Operación</w:t>
      </w:r>
    </w:p>
    <w:p>
      <w:pPr>
        <w:pStyle w:val="ListParagraph"/>
        <w:numPr>
          <w:ilvl w:val="0"/>
          <w:numId w:val="2"/>
        </w:numPr>
        <w:spacing w:after="80"/>
      </w:pPr>
      <w:r>
        <w:t xml:space="preserve">Migraciones de base de datos versionadas (EF Core Migrations), para que cada cambio de esquema quede documentado y sea reproducible en otros ambientes.</w:t>
      </w:r>
    </w:p>
    <w:p>
      <w:pPr>
        <w:pStyle w:val="ListParagraph"/>
        <w:numPr>
          <w:ilvl w:val="0"/>
          <w:numId w:val="2"/>
        </w:numPr>
        <w:spacing w:after="80"/>
      </w:pPr>
      <w:r>
        <w:t xml:space="preserve">Job de purga o archivado de CVs según el plazo de retención definido en la Regla 17, ejecutado por el Worker junto con el resto de tareas programadas.</w:t>
      </w:r>
    </w:p>
    <w:p>
      <w:pPr>
        <w:pStyle w:val="ListParagraph"/>
        <w:numPr>
          <w:ilvl w:val="0"/>
          <w:numId w:val="2"/>
        </w:numPr>
        <w:spacing w:after="80"/>
      </w:pPr>
      <w:r>
        <w:t xml:space="preserve">Backups coordinados entre SQL Server y el almacenamiento de CVs, para que una restauración no deje información inconsistente entre ambos.</w:t>
      </w:r>
    </w:p>
    <w:p>
      <w:pPr>
        <w:pStyle w:val="Heading3"/>
        <w:spacing w:after="100" w:before="200"/>
      </w:pPr>
      <w:r>
        <w:t xml:space="preserve">9.6.6 Calidad y pruebas</w:t>
      </w:r>
    </w:p>
    <w:p>
      <w:pPr>
        <w:pStyle w:val="ListParagraph"/>
        <w:numPr>
          <w:ilvl w:val="0"/>
          <w:numId w:val="2"/>
        </w:numPr>
        <w:spacing w:after="80"/>
      </w:pPr>
      <w:r>
        <w:t xml:space="preserve">El patrón Strategy (IReglaNegocio) permite escribir una prueba unitaria por cada una de las 20 reglas de negocio, de forma aislada del resto del sistema — conviene tratar esto como parte del desarrollo desde el inicio, no como una tarea posterior.</w:t>
      </w:r>
    </w:p>
    <w:p>
      <w:pPr>
        <w:pStyle w:val="Heading1"/>
        <w:spacing w:after="200" w:before="400"/>
      </w:pPr>
      <w:r>
        <w:t xml:space="preserve">10. Plan de implementación y cronograma</w:t>
      </w:r>
    </w:p>
    <w:p>
      <w:pPr>
        <w:pStyle w:val="ListParagraph"/>
        <w:numPr>
          <w:ilvl w:val="0"/>
          <w:numId w:val="2"/>
        </w:numPr>
        <w:spacing w:after="80"/>
      </w:pPr>
      <w:r>
        <w:t xml:space="preserve">Definición de reglas de negocio con la gerencia de RRHH: 2-3 días (completado en este dossier).</w:t>
      </w:r>
    </w:p>
    <w:p>
      <w:pPr>
        <w:pStyle w:val="ListParagraph"/>
        <w:numPr>
          <w:ilvl w:val="0"/>
          <w:numId w:val="2"/>
        </w:numPr>
        <w:spacing w:after="80"/>
      </w:pPr>
      <w:r>
        <w:t xml:space="preserve">Verificación y aprobación del WABA (WhatsApp Business Account) ante Meta: 3 días a 4 semanas — es el cuello de botella real del proyecto, no el desarrollo; conviene iniciarlo en paralelo desde el día 1.</w:t>
      </w:r>
    </w:p>
    <w:p>
      <w:pPr>
        <w:pStyle w:val="ListParagraph"/>
        <w:numPr>
          <w:ilvl w:val="0"/>
          <w:numId w:val="2"/>
        </w:numPr>
        <w:spacing w:after="80"/>
      </w:pPr>
      <w:r>
        <w:t xml:space="preserve">Backend + base de datos + webhook (con apoyo de Claude Code): 3-5 días hábiles.</w:t>
      </w:r>
    </w:p>
    <w:p>
      <w:pPr>
        <w:pStyle w:val="ListParagraph"/>
        <w:numPr>
          <w:ilvl w:val="0"/>
          <w:numId w:val="2"/>
        </w:numPr>
        <w:spacing w:after="80"/>
      </w:pPr>
      <w:r>
        <w:t xml:space="preserve">Frontend / bandeja para los 13 analistas: 3-5 días hábiles.</w:t>
      </w:r>
    </w:p>
    <w:p>
      <w:pPr>
        <w:pStyle w:val="ListParagraph"/>
        <w:numPr>
          <w:ilvl w:val="0"/>
          <w:numId w:val="2"/>
        </w:numPr>
        <w:spacing w:after="80"/>
      </w:pPr>
      <w:r>
        <w:t xml:space="preserve">Pruebas con casos reales y ajustes: 1-1.5 semanas.</w:t>
      </w:r>
    </w:p>
    <w:p>
      <w:pPr>
        <w:pStyle w:val="ListParagraph"/>
        <w:numPr>
          <w:ilvl w:val="0"/>
          <w:numId w:val="2"/>
        </w:numPr>
        <w:spacing w:after="80"/>
      </w:pPr>
      <w:r>
        <w:t xml:space="preserve">Total estimado dedicándose de forma intensiva: 2.5 a 4 semanas — el factor que más probablemente retrase el proyecto es el tiempo de aprobación de Meta, no el desarrollo.</w:t>
      </w:r>
    </w:p>
    <w:p>
      <w:pPr>
        <w:spacing w:after="150"/>
      </w:pPr>
      <w:r>
        <w:t xml:space="preserve">Recomendación de comunicación a gerencia: plantear un rango de 3-4 semanas, aclarando que la mayor parte del tiempo corresponde a la espera de aprobación de Meta, para no comprometer un plazo que no depende enteramente del equipo.</w:t>
      </w:r>
    </w:p>
    <w:p>
      <w:pPr>
        <w:pStyle w:val="Heading1"/>
        <w:spacing w:after="200" w:before="400"/>
      </w:pPr>
      <w:r>
        <w:t xml:space="preserve">11. Recomendaciones sobre herramientas de trabajo</w:t>
      </w:r>
    </w:p>
    <w:p>
      <w:pPr>
        <w:pStyle w:val="Heading2"/>
        <w:spacing w:after="150" w:before="300"/>
      </w:pPr>
      <w:r>
        <w:t xml:space="preserve">11.1 Modelo de Claude a utilizar</w:t>
      </w:r>
    </w:p>
    <w:p>
      <w:pPr>
        <w:spacing w:after="150"/>
      </w:pPr>
      <w:r>
        <w:t xml:space="preserve">Para este tipo de proyecto (webhooks, base de datos relacional, panel con kanban, lógica de reglas de negocio) el modelo Sonnet es suficiente — es complejidad moderada, no investigación de punta. Conviene reservar el nivel de esfuerzo alto para dos momentos puntuales: el diseño inicial del esquema de base de datos (con las 20 reglas) y el motor de reglas, donde un error temprano cuesta más corregir después. El resto del código de rutina puede generarse con nivel medio.</w:t>
      </w:r>
    </w:p>
    <w:p>
      <w:pPr>
        <w:pStyle w:val="Heading2"/>
        <w:spacing w:after="150" w:before="300"/>
      </w:pPr>
      <w:r>
        <w:t xml:space="preserve">11.2 Plan de suscripción</w:t>
      </w:r>
    </w:p>
    <w:p>
      <w:pPr>
        <w:spacing w:after="150"/>
      </w:pPr>
      <w:r>
        <w:t xml:space="preserve">El plan Pro (US$ 20/mes) incluye Claude en la web, apps de escritorio/móvil y Claude Code en una sola suscripción, y alcanza para este proyecto trabajando a un ritmo normal (sin jornadas maratónicas todos los días). Existen dos topes de uso: una ventana móvil de 5 horas y un tope semanal acumulado sobre los últimos 7 días, compartido entre el chat y Claude Code. El comando /usage dentro de Claude Code permite revisar el consumo real en cualquier momento — es la única fuente confiable, ya que Anthropic no publica una cifra fija de horas diarias y los límites han cambiado más de una vez en 2026.</w:t>
      </w:r>
    </w:p>
    <w:p>
      <w:pPr>
        <w:spacing w:after="150"/>
      </w:pPr>
      <w:r>
        <w:t xml:space="preserve">Sugerencia práctica: trabajar en bloques de 2-3 horas diarias y revisar /usage durante la primera semana para calibrar el ritmo real antes de comprometerse con un cronograma ajustado.</w:t>
      </w:r>
    </w:p>
    <w:p>
      <w:pPr>
        <w:pStyle w:val="Heading1"/>
        <w:spacing w:after="200" w:before="400"/>
      </w:pPr>
      <w:r>
        <w:t xml:space="preserve">12. Próximos pasos</w:t>
      </w:r>
    </w:p>
    <w:p>
      <w:pPr>
        <w:pStyle w:val="ListParagraph"/>
        <w:numPr>
          <w:ilvl w:val="0"/>
          <w:numId w:val="2"/>
        </w:numPr>
        <w:spacing w:after="80"/>
      </w:pPr>
      <w:r>
        <w:t xml:space="preserve">Solicitar cotización formal a CRMWhata y 360dialog con los datos reales del equipo (13 agentes, ~20 cuentas, tipo de mensaje Utilidad).</w:t>
      </w:r>
    </w:p>
    <w:p>
      <w:pPr>
        <w:pStyle w:val="ListParagraph"/>
        <w:numPr>
          <w:ilvl w:val="0"/>
          <w:numId w:val="2"/>
        </w:numPr>
        <w:spacing w:after="80"/>
      </w:pPr>
      <w:r>
        <w:t xml:space="preserve">Iniciar el trámite de verificación del WABA ante Meta en paralelo, aprovechando que la empresa ya cuenta con página oficial y Facebook verificado.</w:t>
      </w:r>
    </w:p>
    <w:p>
      <w:pPr>
        <w:pStyle w:val="ListParagraph"/>
        <w:numPr>
          <w:ilvl w:val="0"/>
          <w:numId w:val="2"/>
        </w:numPr>
        <w:spacing w:after="80"/>
      </w:pPr>
      <w:r>
        <w:t xml:space="preserve">Crear la solución .NET con la estructura de proyectos de la Sección 9.1 y el esquema de tablas de la Sección 9.2.</w:t>
      </w:r>
    </w:p>
    <w:p>
      <w:pPr>
        <w:pStyle w:val="ListParagraph"/>
        <w:numPr>
          <w:ilvl w:val="0"/>
          <w:numId w:val="2"/>
        </w:numPr>
        <w:spacing w:after="80"/>
      </w:pPr>
      <w:r>
        <w:t xml:space="preserve">Confirmar con la gerencia de RRHH los criterios finales de "transferencia urgente" y el formato exacto del mini-cuestionario de estado del postulante (contratado / descartado / reingreso).</w:t>
      </w:r>
    </w:p>
    <w:p>
      <w:pPr>
        <w:pStyle w:val="ListParagraph"/>
        <w:numPr>
          <w:ilvl w:val="0"/>
          <w:numId w:val="2"/>
        </w:numPr>
        <w:spacing w:after="80"/>
      </w:pPr>
      <w:r>
        <w:t xml:space="preserve">Activar el plan Pro de Claude y comenzar el desarrollo del Camino A o B según la decisión final de la gerencia.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50" w:before="300"/>
    </w:pPr>
    <w:rPr>
      <w:rFonts w:ascii="Calibri" w:cs="Calibri" w:eastAsia="Calibri" w:hAnsi="Calibri"/>
      <w:b/>
      <w:bCs/>
      <w:color w:val="2E5395"/>
      <w:sz w:val="26"/>
      <w:szCs w:val="26"/>
    </w:rPr>
  </w:style>
  <w:style w:type="paragraph" w:styleId="Heading3">
    <w:name w:val="Heading 3"/>
    <w:basedOn w:val="Normal"/>
    <w:next w:val="Normal"/>
    <w:qFormat/>
    <w:pPr>
      <w:spacing w:after="100" w:before="200"/>
    </w:pPr>
    <w:rPr>
      <w:rFonts w:ascii="Calibri" w:cs="Calibri" w:eastAsia="Calibri" w:hAnsi="Calibri"/>
      <w:b/>
      <w:bCs/>
      <w:i/>
      <w:i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2026-08-19T19:59:54.283Z</dcterms:created>
  <dcterms:modified xsi:type="dcterms:W3CDTF">2026-08-19T19:59:54.297Z</dcterms:modified>
</cp:coreProperties>
</file>

<file path=docProps/custom.xml><?xml version="1.0" encoding="utf-8"?>
<Properties xmlns="http://schemas.openxmlformats.org/officeDocument/2006/custom-properties" xmlns:vt="http://schemas.openxmlformats.org/officeDocument/2006/docPropsVTypes"/>
</file>