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  <w:t xml:space="preserve">Образовательная платформа </w:t>
      </w:r>
      <w:r>
        <w:rPr>
          <w:rFonts w:eastAsia="Courier New" w:cs="Times New Roman" w:ascii="Times New Roman" w:hAnsi="Times New Roman"/>
          <w:b w:val="false"/>
          <w:bCs w:val="false"/>
          <w:color w:val="000000"/>
          <w:sz w:val="28"/>
          <w:szCs w:val="28"/>
          <w:lang w:val="ru-RU" w:eastAsia="ru-RU"/>
        </w:rPr>
        <w:t>«Нетология»</w:t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b/>
          <w:i/>
          <w:i/>
          <w:color w:val="000000"/>
          <w:sz w:val="28"/>
          <w:szCs w:val="28"/>
          <w:lang w:eastAsia="ru-RU"/>
        </w:rPr>
      </w:pPr>
      <w:r>
        <w:rPr>
          <w:b w:val="false"/>
          <w:bCs w:val="false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b/>
          <w:i/>
          <w:i/>
          <w:color w:val="000000"/>
          <w:sz w:val="28"/>
          <w:szCs w:val="28"/>
          <w:lang w:eastAsia="ru-RU"/>
        </w:rPr>
      </w:pPr>
      <w:r>
        <w:rPr>
          <w:b w:val="false"/>
          <w:bCs w:val="false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b/>
          <w:i/>
          <w:i/>
          <w:color w:val="000000"/>
          <w:sz w:val="28"/>
          <w:szCs w:val="28"/>
          <w:lang w:eastAsia="ru-RU"/>
        </w:rPr>
      </w:pPr>
      <w:r>
        <w:rPr>
          <w:b w:val="false"/>
          <w:bCs w:val="false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b/>
          <w:i/>
          <w:i/>
          <w:color w:val="000000"/>
          <w:sz w:val="28"/>
          <w:szCs w:val="28"/>
          <w:lang w:eastAsia="ru-RU"/>
        </w:rPr>
      </w:pPr>
      <w:r>
        <w:rPr>
          <w:b w:val="false"/>
          <w:bCs w:val="false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b/>
          <w:i/>
          <w:i/>
          <w:color w:val="000000"/>
          <w:sz w:val="28"/>
          <w:szCs w:val="28"/>
          <w:lang w:eastAsia="ru-RU"/>
        </w:rPr>
      </w:pPr>
      <w:r>
        <w:rPr>
          <w:b w:val="false"/>
          <w:bCs w:val="false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b/>
          <w:i/>
          <w:i/>
          <w:color w:val="000000"/>
          <w:sz w:val="28"/>
          <w:szCs w:val="28"/>
          <w:lang w:eastAsia="ru-RU"/>
        </w:rPr>
      </w:pPr>
      <w:r>
        <w:rPr>
          <w:b w:val="false"/>
          <w:bCs w:val="false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b/>
          <w:i/>
          <w:i/>
          <w:color w:val="000000"/>
          <w:sz w:val="28"/>
          <w:szCs w:val="28"/>
          <w:lang w:eastAsia="ru-RU"/>
        </w:rPr>
      </w:pPr>
      <w:r>
        <w:rPr>
          <w:b w:val="false"/>
          <w:bCs w:val="false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b/>
          <w:i/>
          <w:i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b w:val="false"/>
          <w:bCs w:val="false"/>
          <w:i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b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  <w:t xml:space="preserve">Дипломная </w:t>
      </w:r>
      <w:r>
        <w:rPr>
          <w:rFonts w:eastAsia="Courier New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  <w:t>работа</w:t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b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b/>
          <w:i/>
          <w:i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b w:val="false"/>
          <w:bCs w:val="false"/>
          <w:i/>
          <w:color w:val="000000"/>
          <w:sz w:val="28"/>
          <w:szCs w:val="28"/>
          <w:lang w:eastAsia="ru-RU"/>
        </w:rPr>
        <w:t>Разработка системы м</w:t>
      </w:r>
      <w:r>
        <w:rPr>
          <w:rFonts w:eastAsia="Courier New" w:cs="Times New Roman" w:ascii="Times New Roman" w:hAnsi="Times New Roman"/>
          <w:b w:val="false"/>
          <w:bCs w:val="false"/>
          <w:i/>
          <w:color w:val="000000"/>
          <w:sz w:val="28"/>
          <w:szCs w:val="28"/>
          <w:lang w:eastAsia="ru-RU"/>
        </w:rPr>
        <w:t>ногоклассовой</w:t>
      </w:r>
      <w:r>
        <w:rPr>
          <w:rFonts w:eastAsia="Courier New" w:cs="Times New Roman" w:ascii="Times New Roman" w:hAnsi="Times New Roman"/>
          <w:b w:val="false"/>
          <w:bCs w:val="false"/>
          <w:i/>
          <w:color w:val="000000"/>
          <w:sz w:val="28"/>
          <w:szCs w:val="28"/>
          <w:lang w:eastAsia="ru-RU"/>
        </w:rPr>
        <w:t xml:space="preserve"> классификации новообразований кожи методами глубокого обучения</w:t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Normal"/>
        <w:widowControl w:val="false"/>
        <w:tabs>
          <w:tab w:val="clear" w:pos="709"/>
          <w:tab w:val="left" w:pos="7109" w:leader="none"/>
          <w:tab w:val="left" w:pos="8549" w:leader="none"/>
          <w:tab w:val="left" w:pos="12757" w:leader="none"/>
        </w:tabs>
        <w:bidi w:val="0"/>
        <w:spacing w:before="0" w:after="0"/>
        <w:ind w:start="5669"/>
        <w:jc w:val="start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  <w:t>Выполнил</w:t>
      </w: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  <w:t>:</w:t>
      </w:r>
    </w:p>
    <w:p>
      <w:pPr>
        <w:pStyle w:val="Normal"/>
        <w:widowControl w:val="false"/>
        <w:tabs>
          <w:tab w:val="clear" w:pos="709"/>
          <w:tab w:val="left" w:pos="7109" w:leader="none"/>
          <w:tab w:val="left" w:pos="8549" w:leader="none"/>
          <w:tab w:val="left" w:pos="12757" w:leader="none"/>
        </w:tabs>
        <w:bidi w:val="0"/>
        <w:spacing w:before="0" w:after="0"/>
        <w:ind w:start="5669"/>
        <w:jc w:val="start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  <w:t xml:space="preserve">студент группы </w:t>
      </w:r>
      <w:r>
        <w:rPr>
          <w:rFonts w:eastAsia="Courier New" w:cs="Times New Roman" w:ascii="Times New Roman" w:hAnsi="Times New Roman"/>
          <w:color w:val="000000"/>
          <w:sz w:val="28"/>
          <w:szCs w:val="28"/>
          <w:lang w:val="en-US" w:eastAsia="ru-RU"/>
        </w:rPr>
        <w:t>AML-67</w:t>
        <w:br/>
      </w:r>
      <w:r>
        <w:rPr>
          <w:rFonts w:eastAsia="Courier New" w:cs="Times New Roman" w:ascii="Times New Roman" w:hAnsi="Times New Roman"/>
          <w:color w:val="000000"/>
          <w:sz w:val="28"/>
          <w:szCs w:val="28"/>
          <w:lang w:val="ru-RU" w:eastAsia="ru-RU"/>
        </w:rPr>
        <w:t xml:space="preserve">«Машинное обучение: </w:t>
      </w:r>
    </w:p>
    <w:p>
      <w:pPr>
        <w:pStyle w:val="Normal"/>
        <w:widowControl w:val="false"/>
        <w:tabs>
          <w:tab w:val="clear" w:pos="709"/>
          <w:tab w:val="left" w:pos="7109" w:leader="none"/>
          <w:tab w:val="left" w:pos="8549" w:leader="none"/>
          <w:tab w:val="left" w:pos="12757" w:leader="none"/>
        </w:tabs>
        <w:bidi w:val="0"/>
        <w:spacing w:before="0" w:after="0"/>
        <w:ind w:start="5669"/>
        <w:jc w:val="start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val="ru-RU" w:eastAsia="ru-RU"/>
        </w:rPr>
        <w:t xml:space="preserve">фундаментальные инструменты </w:t>
      </w:r>
    </w:p>
    <w:p>
      <w:pPr>
        <w:pStyle w:val="Normal"/>
        <w:widowControl w:val="false"/>
        <w:tabs>
          <w:tab w:val="clear" w:pos="709"/>
          <w:tab w:val="left" w:pos="7109" w:leader="none"/>
          <w:tab w:val="left" w:pos="8549" w:leader="none"/>
          <w:tab w:val="left" w:pos="12757" w:leader="none"/>
        </w:tabs>
        <w:bidi w:val="0"/>
        <w:spacing w:before="0" w:after="0"/>
        <w:ind w:start="5669"/>
        <w:jc w:val="start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val="ru-RU" w:eastAsia="ru-RU"/>
        </w:rPr>
        <w:t>и практики»</w:t>
      </w:r>
    </w:p>
    <w:p>
      <w:pPr>
        <w:pStyle w:val="Normal"/>
        <w:widowControl w:val="false"/>
        <w:tabs>
          <w:tab w:val="clear" w:pos="709"/>
          <w:tab w:val="left" w:pos="7109" w:leader="none"/>
          <w:tab w:val="left" w:pos="8549" w:leader="none"/>
          <w:tab w:val="left" w:pos="12757" w:leader="none"/>
        </w:tabs>
        <w:bidi w:val="0"/>
        <w:spacing w:before="0" w:after="0"/>
        <w:ind w:start="5669"/>
        <w:jc w:val="start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  <w:t>Костарев С.В.</w:t>
      </w:r>
    </w:p>
    <w:p>
      <w:pPr>
        <w:pStyle w:val="Normal"/>
        <w:widowControl w:val="false"/>
        <w:tabs>
          <w:tab w:val="clear" w:pos="709"/>
          <w:tab w:val="left" w:pos="7109" w:leader="none"/>
          <w:tab w:val="left" w:pos="8549" w:leader="none"/>
          <w:tab w:val="left" w:pos="12757" w:leader="none"/>
        </w:tabs>
        <w:bidi w:val="0"/>
        <w:spacing w:before="0" w:after="0"/>
        <w:ind w:start="5669"/>
        <w:jc w:val="start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Normal"/>
        <w:widowControl w:val="false"/>
        <w:tabs>
          <w:tab w:val="clear" w:pos="709"/>
          <w:tab w:val="left" w:pos="7109" w:leader="none"/>
          <w:tab w:val="left" w:pos="8549" w:leader="none"/>
          <w:tab w:val="left" w:pos="12757" w:leader="none"/>
        </w:tabs>
        <w:bidi w:val="0"/>
        <w:spacing w:before="0" w:after="0"/>
        <w:ind w:start="5669"/>
        <w:jc w:val="start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  <w:t>Ментор</w:t>
      </w: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  <w:t>:</w:t>
      </w:r>
    </w:p>
    <w:p>
      <w:pPr>
        <w:pStyle w:val="Normal"/>
        <w:widowControl w:val="false"/>
        <w:tabs>
          <w:tab w:val="clear" w:pos="709"/>
          <w:tab w:val="left" w:pos="7109" w:leader="none"/>
          <w:tab w:val="left" w:pos="8549" w:leader="none"/>
          <w:tab w:val="left" w:pos="12757" w:leader="none"/>
        </w:tabs>
        <w:bidi w:val="0"/>
        <w:spacing w:before="0" w:after="0"/>
        <w:ind w:start="5669"/>
        <w:jc w:val="start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  <w:t>Корбут Д.</w:t>
      </w: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  <w:t>К.</w:t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9"/>
          <w:tab w:val="left" w:pos="1440" w:leader="none"/>
          <w:tab w:val="left" w:pos="2880" w:leader="none"/>
        </w:tabs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eastAsia="Courier New" w:cs="Times New Roman"/>
          <w:color w:val="000000"/>
          <w:sz w:val="28"/>
          <w:szCs w:val="28"/>
          <w:lang w:eastAsia="ru-RU"/>
        </w:rPr>
      </w:pPr>
      <w:r>
        <w:rPr>
          <w:rFonts w:eastAsia="Courier New" w:cs="Times New Roman" w:ascii="Times New Roman" w:hAnsi="Times New Roman"/>
          <w:color w:val="000000"/>
          <w:sz w:val="28"/>
          <w:szCs w:val="28"/>
          <w:lang w:eastAsia="ru-RU"/>
        </w:rPr>
        <w:t>Москва</w:t>
      </w:r>
    </w:p>
    <w:p>
      <w:pPr>
        <w:pStyle w:val="Normal"/>
        <w:bidi w:val="0"/>
        <w:spacing w:before="0" w:after="0"/>
        <w:jc w:val="center"/>
        <w:rPr/>
      </w:pPr>
      <w:r>
        <w:rPr>
          <w:rFonts w:eastAsia="Courier New" w:cs="Times New Roman"/>
          <w:color w:val="000000"/>
          <w:lang w:eastAsia="ru-RU"/>
        </w:rPr>
        <w:t>202</w:t>
      </w:r>
      <w:r>
        <w:rPr>
          <w:rFonts w:eastAsia="Courier New" w:cs="Times New Roman"/>
          <w:color w:val="000000"/>
          <w:lang w:eastAsia="ru-RU"/>
        </w:rPr>
        <w:t>6</w:t>
      </w:r>
      <w:r>
        <w:br w:type="page"/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  <w:t>ВВЕДЕНИЕ</w:t>
      </w:r>
    </w:p>
    <w:p>
      <w:pPr>
        <w:pStyle w:val="Normal"/>
        <w:bidi w:val="0"/>
        <w:spacing w:lineRule="auto" w:line="360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В современной медицине автоматизация ранней диагностики онкологических заболеваний кожи является одним из приоритетных направлений развития компьютерного зрения (Computer Vision). Меланома и другие злокачественные новообразования кожи характеризуются высокой летальностью при позднем обнаружении, однако их раннее выявление позволяет значительно повысить выживаемость пациентов. Традиционный клинический осмотр и дерматоскопия требуют значительного опыта со стороны врача-дерматолога.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Р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азвитие глубокого обучения открыва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е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т широкие возможности для создания автоматизированных систем, способных проводить первичный скрининг новообразований по цифровым снимкам.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  <w:effect w:val="none"/>
        </w:rPr>
        <w:t>Целью данно</w:t>
      </w:r>
      <w:r>
        <w:rPr>
          <w:rStyle w:val="Strong"/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  <w:effect w:val="none"/>
        </w:rPr>
        <w:t>го</w:t>
      </w:r>
      <w:r>
        <w:rPr>
          <w:rStyle w:val="Strong"/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  <w:effect w:val="none"/>
        </w:rPr>
        <w:t xml:space="preserve"> дипломно</w:t>
      </w:r>
      <w:r>
        <w:rPr>
          <w:rStyle w:val="Strong"/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  <w:effect w:val="none"/>
        </w:rPr>
        <w:t>го проекта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является разработка автоматизированной системы классификации заболеваний кожи на основе сверточных нейронных сетей глубокого обучения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в среде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Keras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. Для достижения по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ставленной цели необходимо решить комплекс следующих задач: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firstLine="283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Провести разведочный анализ данных медицинского набора данных HAM10000, выявить его ключевые особенности и специфические ограничения.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firstLine="283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Спроектировать валидационную стратегию, полностью исключающую утечку данных при наличии повторяющихся объектов у одного и того же пациента.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firstLine="283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Настроить эффективный пайплайн загрузки,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обработки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и динамической аугментации данных с использованием встроенных инструментов Keras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[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3]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.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firstLine="283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Разработать архитектуру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моделей сверточных нейронных сетей, в том числе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на основе концепции переноса обучения с использованием предобученной базовой модели ResNet50.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firstLine="283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Реализовать обучение модел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ей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в условиях дисбаланса классов и оценить ее финальное качество с помощью специализированных метрик: полноты (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r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ecall) и гармонического среднего (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f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1-score). </w:t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Объектом исследования выступают цифровые дерматоскопические изображения кожных покровов. Предметом исследования являются методы и алгоритмы глубокого машинного обучения, применяемые для мультиклассовой классификации медицинских изображений.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Практическая новизна проекта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заключается в адаптации архитектуры ResNet50 под специфику несбалансированных медицинских данных без привлечения сторонних тяжелых библиотек предобработки.</w:t>
      </w:r>
      <w:r>
        <w:br w:type="page"/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  <w:t>ОПИСАНИЕ ДАННЫ</w:t>
      </w: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  <w:t>Х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В качестве эмпирической базы исследования использован международный дерматоскопический атлас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Skin Cancer MNIST: HAM10000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, размещенный на платформе Kaggle. Данный датасет представляет собой репрезентативн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ый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набор данных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, состоящ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ий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из 10 015 цифровых изображений, полученных с помощью различных дерматоскопов в течение 20 лет из двух разных академических центров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[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7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]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. Набор данных снабжен детальными метаданными, сохраненными в формате CSV, содержащими уникальный идентификатор изображения (</w:t>
      </w:r>
      <w:r>
        <w:rPr>
          <w:rStyle w:val="Style16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image_id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), уникальный идентификатор патологического очага (</w:t>
      </w:r>
      <w:r>
        <w:rPr>
          <w:rStyle w:val="Style16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lesion_id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), метод верификации диагноза, а также пол, возраст и анатомическую локализацию очага у пациента.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Ключевой особенностью датасета является наличие семи непересекающихся диагностических категорий, утвержденных международным консенсусом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(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табл. 1).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tbl>
      <w:tblPr>
        <w:tblW w:w="748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24"/>
        <w:gridCol w:w="2664"/>
      </w:tblGrid>
      <w:tr>
        <w:trPr/>
        <w:tc>
          <w:tcPr>
            <w:tcW w:w="4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Диагностическая к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атегория</w:t>
            </w:r>
          </w:p>
        </w:tc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Число изображений</w:t>
            </w:r>
          </w:p>
        </w:tc>
      </w:tr>
      <w:tr>
        <w:trPr/>
        <w:tc>
          <w:tcPr>
            <w:tcW w:w="48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  <w:t>Актинический кератоз</w:t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  <w:t>и внутриэпителиальная карцинома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327</w:t>
            </w:r>
          </w:p>
        </w:tc>
      </w:tr>
      <w:tr>
        <w:trPr/>
        <w:tc>
          <w:tcPr>
            <w:tcW w:w="48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  <w:t>Базальноклеточная карцинома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514</w:t>
            </w:r>
          </w:p>
        </w:tc>
      </w:tr>
      <w:tr>
        <w:trPr/>
        <w:tc>
          <w:tcPr>
            <w:tcW w:w="48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  <w:t>Доброкачественные кератозоподобные поражения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both"/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  <w:t>1099</w:t>
            </w:r>
          </w:p>
        </w:tc>
      </w:tr>
      <w:tr>
        <w:trPr/>
        <w:tc>
          <w:tcPr>
            <w:tcW w:w="48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  <w:t>Дерматофиброма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115</w:t>
            </w:r>
          </w:p>
        </w:tc>
      </w:tr>
      <w:tr>
        <w:trPr/>
        <w:tc>
          <w:tcPr>
            <w:tcW w:w="48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  <w:t>Меланома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1113</w:t>
            </w:r>
          </w:p>
        </w:tc>
      </w:tr>
      <w:tr>
        <w:trPr/>
        <w:tc>
          <w:tcPr>
            <w:tcW w:w="48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  <w:t>Меланоцитарные невусы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both"/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  <w:t>6705</w:t>
            </w:r>
          </w:p>
        </w:tc>
      </w:tr>
      <w:tr>
        <w:trPr/>
        <w:tc>
          <w:tcPr>
            <w:tcW w:w="48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strike w:val="false"/>
                <w:dstrike w:val="false"/>
                <w:sz w:val="28"/>
                <w:szCs w:val="28"/>
                <w:u w:val="none"/>
                <w:effect w:val="none"/>
              </w:rPr>
              <w:t>Сосудистые новообразования кожи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142</w:t>
            </w:r>
          </w:p>
        </w:tc>
      </w:tr>
    </w:tbl>
    <w:p>
      <w:pPr>
        <w:pStyle w:val="Normal"/>
        <w:bidi w:val="0"/>
        <w:spacing w:lineRule="auto" w:line="276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/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Т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аблица 1. Диагностические категории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атлас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а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Skin Cancer MNIST: HAM10000.</w:t>
      </w:r>
    </w:p>
    <w:p>
      <w:pPr>
        <w:pStyle w:val="Normal"/>
        <w:bidi w:val="0"/>
        <w:spacing w:lineRule="auto" w:line="276"/>
        <w:jc w:val="center"/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/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В ходе проведения разведочного анализа данных был выявлен критический дисбаланс классов: на долю доброкачественных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м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еланоцитарны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х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невусов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(родинок)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приходится примерно 67% всей выборки, тогда как редкие классы (дерматофибромы и сосудистые поражения) занимают менее 3%. Столь выраженная несбалансированность создает серьезную математическую проблему: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функция потерь оптимизируется преимущественно за счет преобладающего класса объектов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. В медицинской диагностике, где пропуск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опасных классов (базальноклеточная карцинома 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меланом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а)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критичен, стандартная метрика Accuracy (общая точность) становится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недостаточно информативной при сильном дисбалансе классов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, так как предсказание класса </w:t>
      </w:r>
      <w:r>
        <w:rPr>
          <w:rStyle w:val="Style16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меланоцитарных невусов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для всех объектов даст около 67% точности, но пропустит 100% опасных заболеваний. Кроме того, анализ метаданных показал, что количество уникальных очагов (</w:t>
      </w:r>
      <w:r>
        <w:rPr>
          <w:rStyle w:val="Style16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lesion_id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) составляет 7470, что указывает на присутствие множественных снимков одного и того же новообразования у пациентов.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Таким образом, для данного исследования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критически важно разработать модель, которая будет способна успешно распознавать редкие опасные классы, а также избежать утечки данных за счет повторяемости изображений одного и того же поражения при ее обучении.</w:t>
      </w:r>
      <w:r>
        <w:br w:type="page"/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  <w:t>О</w:t>
      </w: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  <w:t>БРАБОТКА ДАННЫХ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strike w:val="false"/>
          <w:dstrike w:val="false"/>
          <w:sz w:val="28"/>
          <w:szCs w:val="28"/>
          <w:u w:val="none"/>
          <w:effect w:val="none"/>
        </w:rPr>
      </w:pPr>
      <w:r>
        <w:rPr>
          <w:b/>
          <w:bCs/>
        </w:rPr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Обработка данных, а также дальнейшее создание и обучение моделей происходили в среде Google Colab c графическим ускорителем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NVIDIA Tesla T4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с 16 ГБ видеопамяти.</w:t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Исходные данные загружались в рабочую среду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с помощью библиотеки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K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agglehub.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П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роизводилось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изменение очередности каналов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(BGR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в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RGB)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уменьшение размера изображений до 224×224 пикселей —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целевого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разрешения для архитектуры ResNet50 —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с использованием библиотеки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cv2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На этом этапе измененные изображения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сохранялись на диск для последующего использования в генераторах.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Разделение выборки на обучающее (60%), валидационное (20%) и тестовое (20%) множества в соотношении выполнялось по строго контролируемой схеме во избежание эффекта утечки данных. Традиционное случайное разбиение по именам файлов (</w:t>
      </w:r>
      <w:r>
        <w:rPr>
          <w:rStyle w:val="Style16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image_id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) привело бы к тому, что разные фотографии одной и той же родинки одновременно оказались бы в обучающем и тестовом наборах. В результате модель просто «запомнила»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бы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индивидуальные текстурные особенности конкретного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очага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, показав неоправданно высокое качество на тесте, которое резко упало бы на реальных новых пациентах.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Для корректного разбиения был применен алгоритм группировки по уникальному признаку </w:t>
      </w:r>
      <w:r>
        <w:rPr>
          <w:rStyle w:val="Style16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lesion_id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. Все 7470 уникальных очагов были случайным образом распределены в пропорции 80% (обучение и валидация) на 20% (независимый отложенный тест). Далее обучающая подвыборка была дополнительно разделена аналогичным образом н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а обучающую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валидационную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в соотношении 80/20. Реализация разделения выполнялась с помощью класса GroupShuffleSplit из библиотеки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S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cikit-learn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[5]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. В результате сформировались три изолированных пула данных:</w:t>
      </w:r>
    </w:p>
    <w:p>
      <w:pPr>
        <w:pStyle w:val="BodyText"/>
        <w:numPr>
          <w:ilvl w:val="0"/>
          <w:numId w:val="2"/>
        </w:numPr>
        <w:pBdr/>
        <w:bidi w:val="0"/>
        <w:spacing w:lineRule="auto" w:line="276" w:before="0" w:after="0"/>
        <w:ind w:firstLine="283" w:start="0" w:end="0"/>
        <w:jc w:val="both"/>
        <w:rPr/>
      </w:pP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Обучающий набор.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64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12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изображений, используемых для прямой корректировки весов нейросети.</w:t>
      </w:r>
    </w:p>
    <w:p>
      <w:pPr>
        <w:pStyle w:val="BodyText"/>
        <w:numPr>
          <w:ilvl w:val="0"/>
          <w:numId w:val="2"/>
        </w:numPr>
        <w:pBdr/>
        <w:bidi w:val="0"/>
        <w:spacing w:lineRule="auto" w:line="276" w:before="0" w:after="0"/>
        <w:ind w:firstLine="283" w:start="0" w:end="0"/>
        <w:jc w:val="both"/>
        <w:rPr/>
      </w:pP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Валидационный набор.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1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579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изображени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й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, применяемых для мониторинга переобучения и подбора гиперпараметров.</w:t>
      </w:r>
    </w:p>
    <w:p>
      <w:pPr>
        <w:pStyle w:val="BodyText"/>
        <w:numPr>
          <w:ilvl w:val="0"/>
          <w:numId w:val="2"/>
        </w:numPr>
        <w:pBdr/>
        <w:bidi w:val="0"/>
        <w:spacing w:lineRule="auto" w:line="276" w:before="0" w:after="0"/>
        <w:ind w:firstLine="283" w:start="0" w:end="0"/>
        <w:jc w:val="both"/>
        <w:rPr/>
      </w:pP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Тестовый набор.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20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24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изображени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й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, не участвовавших в процессе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обучения и настройки моделей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.</w:t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Далее автором самостоятельно был реализован класс генераторов данных ImageDatasetGenerator для загрузки данных с диска,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нормализации пикселей и подачи данных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в модель небольшими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пакетами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(батчами)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, поскольку при выбранном разрешении данные не помещались в оперативной памяти.</w:t>
      </w:r>
      <w:r>
        <w:br w:type="page"/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  <w:t>АРХИТЕКТУРА МОДЕЛЕЙ И ОПИСАНИЕ ОБУЧЕНИЯ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Для решения задачи многоклассовой классификации изображений кожи рассматривались два основных подхода в рамках фреймворка Keras: построение и обучение с нуля кастомной сверточной нейронной сети (CNN) и использование глубоких предобученных архитектур в рамках концепции переноса обучения (Transfer Learning).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Именно такая стратегия, согласно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[1],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является основной для решения задачи классификации изображений с обучением на небольших наборах данных.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Детальный обзор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реализованных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подходов к решению рассматриваемой задачи дан в работе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[6].</w:t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Во всех моделях в качестве функции потерь использовалась категориальная фокусная кросс-энтропия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FL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(Categorical Focal Cross-Entropy)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из библиотеки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Keras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: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r>
      <m:oMathPara xmlns:m="http://schemas.openxmlformats.org/officeDocument/2006/math">
        <m:oMathParaPr>
          <m:jc m:val="center"/>
        </m:oMathParaPr>
        <m:oMath>
          <m:r>
            <m:t xml:space="preserve">FL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p</m:t>
                  </m:r>
                </m:e>
                <m:sub>
                  <m:r>
                    <m:t xml:space="preserve">t</m:t>
                  </m:r>
                </m:sub>
              </m:sSub>
              <m:sSup>
                <m:e/>
                <m:sup/>
              </m:sSup>
            </m:e>
          </m:d>
          <m:r>
            <m:t xml:space="preserve"> </m:t>
          </m:r>
          <m:r>
            <m:t xml:space="preserve">=</m:t>
          </m:r>
          <m:r>
            <m:t xml:space="preserve"> </m:t>
          </m:r>
          <m:r>
            <m:t xml:space="preserve">−</m:t>
          </m:r>
          <m:sSub>
            <m:e>
              <m:r>
                <m:t xml:space="preserve">α</m:t>
              </m:r>
            </m:e>
            <m:sub>
              <m:r>
                <m:t xml:space="preserve">t</m:t>
              </m:r>
            </m:sub>
          </m:sSub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  <m:r>
                    <m:t xml:space="preserve">−</m:t>
                  </m:r>
                  <m:sSub>
                    <m:e>
                      <m:r>
                        <m:t xml:space="preserve">p</m:t>
                      </m:r>
                    </m:e>
                    <m:sub>
                      <m:r>
                        <m:t xml:space="preserve">t</m:t>
                      </m:r>
                    </m:sub>
                  </m:sSub>
                </m:e>
              </m:d>
            </m:e>
            <m:sup>
              <m:r>
                <m:t xml:space="preserve">γ</m:t>
              </m:r>
            </m:sup>
          </m:sSup>
          <m:r>
            <m:t xml:space="preserve">log</m:t>
          </m:r>
          <m:sSub>
            <m:e>
              <m:r>
                <m:t xml:space="preserve">p</m:t>
              </m:r>
            </m:e>
            <m:sub>
              <m:r>
                <m:t xml:space="preserve">t</m:t>
              </m:r>
            </m:sub>
          </m:sSub>
          <m:sSup>
            <m:e/>
            <m:sup/>
          </m:sSup>
        </m:oMath>
      </m:oMathPara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r>
      <m:oMath xmlns:m="http://schemas.openxmlformats.org/officeDocument/2006/math">
        <m:sSub>
          <m:e>
            <m:r>
              <m:t xml:space="preserve">p</m:t>
            </m:r>
          </m:e>
          <m:sub>
            <m:r>
              <m:t xml:space="preserve">t</m:t>
            </m:r>
          </m:sub>
        </m:sSub>
      </m:oMath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предсказанная моделью вероятность истинного класса.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m:t xml:space="preserve">1</m:t>
                </m:r>
                <m:r>
                  <m:t xml:space="preserve">−</m:t>
                </m:r>
                <m:sSub>
                  <m:e>
                    <m:r>
                      <m:t xml:space="preserve">p</m:t>
                    </m:r>
                  </m:e>
                  <m:sub>
                    <m:r>
                      <m:t xml:space="preserve">t</m:t>
                    </m:r>
                  </m:sub>
                </m:sSub>
              </m:e>
            </m:d>
          </m:e>
          <m:sup>
            <m:r>
              <m:t xml:space="preserve">γ</m:t>
            </m:r>
          </m:sup>
        </m:sSup>
      </m:oMath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модулирующий фактор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, уменьшающий вклад легко классифицируемых объектов.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/>
      </w:r>
      <m:oMath xmlns:m="http://schemas.openxmlformats.org/officeDocument/2006/math">
        <m:r>
          <m:t xml:space="preserve">γ</m:t>
        </m:r>
      </m:oMath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п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араметр фокусировки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(γ ≥ 0). При γ = 0 функция превращается в стандартную кросс-энтропию. 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α</m:t>
            </m:r>
          </m:e>
          <m:sub>
            <m:r>
              <m:t xml:space="preserve">t</m:t>
            </m:r>
          </m:sub>
        </m:sSub>
      </m:oMath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п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араметр балансировки классов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для дополнительного контроля веса редких категорий.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К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атегориальная фокусная кросс-энтропия решает проблему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выраженного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дисбаланса классов в задачах многоклассовой классификации, динамически снижая вес легко определяемых примеров и заставляя модель фокусироваться на редких и сложных объектах. Она модифицирует стандартную категориальную кросс-энтропию, добавляя модулирующий множитель на основе предсказанной вероятности.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При обучении использовались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стандартные значения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γ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α,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рекомендованные авторами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FL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(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2,0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и 0,25 соответственно)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В качестве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базовой модели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была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реализована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простая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сверточная нейронная сеть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состоящая из трёх основных блоков. В первом блоке содержится слой входных данных и два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>последовательных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сверточных слоя с 32 каналами. Во втором блоке основными слоями также являются два сверточных слоя, но число каналов увеличивается до 64. Основой третьего блока является полносвязный слой на 64 нейрона и выходной слой с функцией активации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softmax.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В промежуточных слоях использовалась функция активации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relu.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Для предотвращения переобучения использовался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Dropout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, для стабилизации и ускорения процесса обучения —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BatchNormalization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Все перечисленные выше слои доступны в библиотеке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Keras.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Уменьшение размеров изображения достигалось с помощью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MaxPool2D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Более подробно архитектура модели представлена на рис. 1.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1940" cy="5448300"/>
            <wp:effectExtent l="0" t="0" r="0" b="0"/>
            <wp:wrapTopAndBottom/>
            <wp:docPr id="1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ind w:firstLine="567" w:start="0" w:end="0"/>
        <w:jc w:val="center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Р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ис. 1. Архитектура базовой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CNN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В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торая разработанная модель имела архитектуру, аналогичную первой, однако для предотвращения переобучения и увеличения обобщающей способности модели применялась аугментация данных с помощью классов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RandomFlip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(случайный поворот по горизонтали и вертикали) и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RandomRotation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(случайный поворот примерно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на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20 градусов) из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>Keras.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Обучение глубоких сетей «с нуля»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сопряжено с рядом сложностей.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Как отмечает Ф. Шолле [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1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],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при решении сложных задач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для качественной настройки сверточных фильтров «с нуля» требуются масштабные датасеты.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Между тем, для глубокого обучения на небольших наборах изображений типичным и эффективным подходом является использование предварительно обученной сети.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В связи с этим,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д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ля получения лучшего качества классификации в качестве финального технологического решения была выбрана концепция переноса обучения. После ряда численных экспериментов с другими нейронными сетями было принято решение использовать ResNet50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[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4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]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сверточную нейронную сеть глубиной 50 слоев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с весами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ImageNet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П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рименялась функция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preprocess_input,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п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реобразующая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значени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я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пикселей к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формату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, соответствующему предобучению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модели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на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датасете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ImageNet.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Процесс обучения был разделен на две последовательные фазы согласно классической методологии тонкой настройки глубоких сетей [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1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]. На первом этапе обучался лишь собственный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итоговый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классификатор (рис. 2),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а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базовые веса слоя ResNet50 фиксировались. Это защитило предобученные веса от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резкого обновления при высокой скорости обучения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На втором этапе выполнялась процедура тонкой настройки (Fine-Tuning) всей нейросети. Путем разморозки всех слоев базовой модели и снижения скорости обучения до минимального значения (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0,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00001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) была обеспечена адаптация фильтров под специфику дерматоскопических текстур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(табл. 2)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. Таким образом, в качестве итогового решения была утверждена архитектура ResNet50 с кастомным классификационным блоком, прошедшая полный цикл дообучения.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03"/>
        <w:gridCol w:w="1476"/>
        <w:gridCol w:w="1644"/>
        <w:gridCol w:w="1979"/>
        <w:gridCol w:w="2836"/>
      </w:tblGrid>
      <w:tr>
        <w:trPr/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Скорость обучения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Количество эпох</w:t>
            </w:r>
          </w:p>
        </w:tc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Early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topping patience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ReduceLROnPlateau</w:t>
            </w:r>
          </w:p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patience</w:t>
            </w:r>
          </w:p>
        </w:tc>
      </w:tr>
      <w:tr>
        <w:trPr/>
        <w:tc>
          <w:tcPr>
            <w:tcW w:w="17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CNN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001</w:t>
            </w:r>
          </w:p>
        </w:tc>
        <w:tc>
          <w:tcPr>
            <w:tcW w:w="16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19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8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</w:tr>
      <w:tr>
        <w:trPr/>
        <w:tc>
          <w:tcPr>
            <w:tcW w:w="17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CNN aug.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16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19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8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</w:tr>
      <w:tr>
        <w:trPr/>
        <w:tc>
          <w:tcPr>
            <w:tcW w:w="17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ResNet50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16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19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8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</w:tr>
      <w:tr>
        <w:trPr/>
        <w:tc>
          <w:tcPr>
            <w:tcW w:w="17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ResNet50 f. t.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00001</w:t>
            </w:r>
          </w:p>
        </w:tc>
        <w:tc>
          <w:tcPr>
            <w:tcW w:w="16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9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8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</w:tbl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r>
    </w:p>
    <w:p>
      <w:pPr>
        <w:pStyle w:val="Normal"/>
        <w:bidi w:val="0"/>
        <w:spacing w:lineRule="auto" w:line="276"/>
        <w:ind w:firstLine="567" w:start="0" w:end="0"/>
        <w:jc w:val="center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Таблица 2.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Гиперпараметры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(CNN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базовая модель, CNN aug.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базовая модель с аугментацией, ResNet50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модель с переносом обучения, ResNet50 f. t.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модель с полным дообучением)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В процессе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обучени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я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моделей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использовал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ся оптимизатор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Adam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и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следующие гиперпараметры: размер батча — 32, количество эпох — 100, скорость обучения — от 0,001 до 0,00001 (табл. 2). С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целью экономии вычислительных ресурсов и предотвращения переобучения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применялись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обратные вызовы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(коллбеки)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 xml:space="preserve">EarlyStopping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и ReduceLROnPlateau из библиотеки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>Keras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.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Если в течение числа эпох, заданного параметром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 xml:space="preserve">patience,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качество модели не улучшалось, коллбек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 xml:space="preserve">EarlyStopping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прекращал обучение и восстанавливал веса лучшей эпохи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.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Коллбек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ReduceLROnPlateau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в аналогичной ситуации уменьшал скорость обучения.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Для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большинства моделей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параметр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 xml:space="preserve">patience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для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>EarlyStopping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и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ReduceLROnPlateau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составлял 20 и 10 соответственно.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Для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более тонкой настройки полного дообучения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модели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ResNet5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0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значение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параметра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 xml:space="preserve"> patience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для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>EarlyStopping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и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ReduceLROnPlateau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было снижено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до 5 и 2 соответственно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(табл. 2),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количество эпох — до 20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</w:pPr>
      <w:r>
        <w:rPr/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19220" cy="2266950"/>
            <wp:effectExtent l="0" t="0" r="0" b="0"/>
            <wp:wrapTopAndBottom/>
            <wp:docPr id="2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2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ind w:firstLine="567" w:start="0" w:end="0"/>
        <w:jc w:val="center"/>
        <w:rPr/>
      </w:pP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Р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ис.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>2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. Архитектура 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модели с переносом обучения из</w:t>
      </w:r>
      <w:r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 xml:space="preserve"> ResNet50.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Style w:val="Strong"/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</w:pPr>
      <w:r>
        <w:rPr/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Для оценки качества обучения применялись метрики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f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1-score и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r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ecall (полнота), расчет которых был программно реализован с помощью специализированных инструментов Scikit-learn.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F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1-score представляет собой среднее гармоническое между точностью (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p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recision) и полнотой (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r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ecall). Она принимает значения от 0 до 1, где 1 означает идеально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е качество модели, а 0 — наихудшее: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r>
            <m:t xml:space="preserve">1</m:t>
          </m:r>
          <m:r>
            <m:t xml:space="preserve">−</m:t>
          </m:r>
          <m:r>
            <m:t xml:space="preserve">score</m:t>
          </m:r>
          <m:r>
            <m:t xml:space="preserve"> </m:t>
          </m:r>
          <m:r>
            <m:t xml:space="preserve">=</m:t>
          </m:r>
          <m:r>
            <m:t xml:space="preserve"> </m:t>
          </m:r>
          <m:f>
            <m:num>
              <m:r>
                <m:t xml:space="preserve">2</m:t>
              </m:r>
              <m:r>
                <m:t xml:space="preserve">×</m:t>
              </m:r>
              <m:r>
                <m:t xml:space="preserve">TP</m:t>
              </m:r>
            </m:num>
            <m:den>
              <m:r>
                <m:t xml:space="preserve">2</m:t>
              </m:r>
              <m:r>
                <m:t xml:space="preserve">×</m:t>
              </m:r>
              <m:r>
                <m:t xml:space="preserve">TP</m:t>
              </m:r>
              <m:r>
                <m:t xml:space="preserve">+</m:t>
              </m:r>
              <m:r>
                <m:t xml:space="preserve">FP</m:t>
              </m:r>
              <m:r>
                <m:t xml:space="preserve">+</m:t>
              </m:r>
              <m:r>
                <m:t xml:space="preserve">FN</m:t>
              </m:r>
            </m:den>
          </m:f>
        </m:oMath>
      </m:oMathPara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</w:r>
      <m:oMath xmlns:m="http://schemas.openxmlformats.org/officeDocument/2006/math">
        <m:r>
          <m:t xml:space="preserve">TP</m:t>
        </m:r>
      </m:oMath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верно предсказанные положительные исходы.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r>
      <m:oMath xmlns:m="http://schemas.openxmlformats.org/officeDocument/2006/math">
        <m:r>
          <m:t xml:space="preserve">FP</m:t>
        </m:r>
      </m:oMath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ложноположительные исходы (ошибка 1-го рода).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r>
      <m:oMath xmlns:m="http://schemas.openxmlformats.org/officeDocument/2006/math">
        <m:r>
          <m:t xml:space="preserve">FN</m:t>
        </m:r>
      </m:oMath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ложноотрицательные исходы (ошибка 2-го рода).</w:t>
      </w:r>
    </w:p>
    <w:p>
      <w:pPr>
        <w:pStyle w:val="Normal"/>
        <w:bidi w:val="0"/>
        <w:spacing w:lineRule="auto" w:line="276"/>
        <w:ind w:firstLine="567" w:start="0" w:end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Recall (полнота)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для класса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</w:t>
      </w:r>
      <w:r>
        <w:rPr>
          <w:rFonts w:ascii="Times New Roman" w:hAnsi="Times New Roman"/>
          <w:b w:val="false"/>
          <w:i/>
          <w:iCs/>
          <w:strike w:val="false"/>
          <w:dstrike w:val="false"/>
          <w:sz w:val="28"/>
          <w:szCs w:val="28"/>
          <w:u w:val="none"/>
          <w:effect w:val="none"/>
          <w:lang w:val="en-US"/>
        </w:rPr>
        <w:t>i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это метрика качества,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показывающая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какую долю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от всех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реальных объектов класса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i/>
          <w:iCs/>
          <w:strike w:val="false"/>
          <w:dstrike w:val="false"/>
          <w:sz w:val="28"/>
          <w:szCs w:val="28"/>
          <w:u w:val="none"/>
          <w:effect w:val="none"/>
          <w:lang w:val="en-US"/>
        </w:rPr>
        <w:t>i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модель смогла найти и правильно классифицировать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: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lang w:val="en-US"/>
        </w:rPr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r>
      <m:oMathPara xmlns:m="http://schemas.openxmlformats.org/officeDocument/2006/math">
        <m:oMathParaPr>
          <m:jc m:val="center"/>
        </m:oMathParaPr>
        <m:oMath>
          <m:r>
            <m:t xml:space="preserve">Recall</m:t>
          </m:r>
          <m:r>
            <m:t xml:space="preserve"> </m:t>
          </m:r>
          <m:r>
            <m:t xml:space="preserve">=</m:t>
          </m:r>
          <m:r>
            <m:t xml:space="preserve"> </m:t>
          </m:r>
          <m:f>
            <m:num>
              <m:r>
                <m:t xml:space="preserve">TP</m:t>
              </m:r>
            </m:num>
            <m:den>
              <m:r>
                <m:t xml:space="preserve">TP</m:t>
              </m:r>
              <m:r>
                <m:t xml:space="preserve">+</m:t>
              </m:r>
              <m:r>
                <m:t xml:space="preserve">FN</m:t>
              </m:r>
            </m:den>
          </m:f>
        </m:oMath>
      </m:oMathPara>
    </w:p>
    <w:p>
      <w:pPr>
        <w:pStyle w:val="Normal"/>
        <w:bidi w:val="0"/>
        <w:spacing w:lineRule="auto" w:line="276"/>
        <w:ind w:firstLine="567" w:start="0" w:end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Precision (точность)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для класса </w:t>
      </w:r>
      <w:r>
        <w:rPr>
          <w:rFonts w:ascii="Times New Roman" w:hAnsi="Times New Roman"/>
          <w:b w:val="false"/>
          <w:i/>
          <w:iCs/>
          <w:strike w:val="false"/>
          <w:dstrike w:val="false"/>
          <w:sz w:val="28"/>
          <w:szCs w:val="28"/>
          <w:u w:val="none"/>
          <w:effect w:val="none"/>
          <w:lang w:val="en-US"/>
        </w:rPr>
        <w:t>i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—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это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метрика качества,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показывающая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какая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дол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я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объектов,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названных моделью классом </w:t>
      </w:r>
      <w:r>
        <w:rPr>
          <w:rFonts w:ascii="Times New Roman" w:hAnsi="Times New Roman"/>
          <w:b w:val="false"/>
          <w:i/>
          <w:iCs/>
          <w:strike w:val="false"/>
          <w:dstrike w:val="false"/>
          <w:sz w:val="28"/>
          <w:szCs w:val="28"/>
          <w:u w:val="none"/>
          <w:effect w:val="none"/>
          <w:lang w:val="ru-RU"/>
        </w:rPr>
        <w:t>i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действительно принадлежит к классу </w:t>
      </w:r>
      <w:r>
        <w:rPr>
          <w:rFonts w:ascii="Times New Roman" w:hAnsi="Times New Roman"/>
          <w:b w:val="false"/>
          <w:i/>
          <w:iCs/>
          <w:strike w:val="false"/>
          <w:dstrike w:val="false"/>
          <w:sz w:val="28"/>
          <w:szCs w:val="28"/>
          <w:u w:val="none"/>
          <w:effect w:val="none"/>
          <w:lang w:val="en-US"/>
        </w:rPr>
        <w:t>i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: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lang w:val="en-US"/>
        </w:rPr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r>
      <m:oMathPara xmlns:m="http://schemas.openxmlformats.org/officeDocument/2006/math">
        <m:oMathParaPr>
          <m:jc m:val="center"/>
        </m:oMathParaPr>
        <m:oMath>
          <m:r>
            <m:t xml:space="preserve">Precision</m:t>
          </m:r>
          <m:r>
            <m:t xml:space="preserve"> </m:t>
          </m:r>
          <m:r>
            <m:t xml:space="preserve">=</m:t>
          </m:r>
          <m:r>
            <m:t xml:space="preserve"> </m:t>
          </m:r>
          <m:f>
            <m:num>
              <m:r>
                <m:t xml:space="preserve">TP</m:t>
              </m:r>
            </m:num>
            <m:den>
              <m:r>
                <m:t xml:space="preserve">TP</m:t>
              </m:r>
              <m:r>
                <m:t xml:space="preserve">+</m:t>
              </m:r>
              <m:r>
                <m:t xml:space="preserve">FP</m:t>
              </m:r>
            </m:den>
          </m:f>
        </m:oMath>
      </m:oMathPara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lang w:val="ru-RU"/>
        </w:rPr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Кроме того, применялись осредненные по всем классам значения перечисленных метрик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f1-score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recall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(m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acro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f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1-score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и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macro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r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ecall).</w:t>
      </w:r>
      <w:r>
        <w:br w:type="page"/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  <w:t>ОБСУЖДЕНИЕ РЕЗУЛЬТАТОВ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Тестирование простой CNN-модели показало, что из-за сильного дисбаланса классов нейросеть не справляется с диагностикой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(табл. 3)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. Средние метрики оказались низкими: macro f1-score составил 0,49, а macro recall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0,47. Хуже всего модель распознавала опасные классы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меланому (f1-score = 0,41; recall = 0,35) и базальноклеточную карциному (f1-score = 0,42; recall = 0,47). Нейросеть пропускала больше половины опасных опухолей, поскольку в процессе обучения просто подстроилась под самый частый и безопасный класс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обычные родинки (невусы).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На рис. 3 приведена зависимость функции ошибок от эпохи.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В начале обучения функция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потерь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сокращалась, но п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риблизительно после 40 эпохи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процесс обучения вышел на плато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1425" cy="2583180"/>
            <wp:effectExtent l="0" t="0" r="0" b="0"/>
            <wp:wrapTopAndBottom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Рис.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>3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.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Функция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потерь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для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простой CNN-модели.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color w:val="000000"/>
          <w:shd w:fill="FFFFFF" w:val="clear"/>
          <w:lang w:val="en-US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/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Macro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f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-1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М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f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БКК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f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Macro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ec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М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ec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БКК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ec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CNN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0,49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0,41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0,42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0,47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0,35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0,47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CNN aug.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0,37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0,40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0,34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0,35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0,33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0,31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ResNet50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0,56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0,52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0,45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0,51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0,53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0,39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ResNet50 f. 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0,63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0,55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0,63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0,60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0,60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bidi w:val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0,56</w:t>
            </w:r>
          </w:p>
        </w:tc>
      </w:tr>
    </w:tbl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r>
    </w:p>
    <w:p>
      <w:pPr>
        <w:pStyle w:val="Normal"/>
        <w:bidi w:val="0"/>
        <w:spacing w:lineRule="auto" w:line="276"/>
        <w:ind w:firstLine="567" w:start="0" w:end="0"/>
        <w:jc w:val="center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Таблица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3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. Метрики качества (CNN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базовая модель, CNN aug.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базовая модель с аугментацией, ResNet50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модель с переносом обучения, ResNet50 f. t.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модель с полным дообучением, М — меланома, БКК — базальноклеточная карцинома,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rec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полнота (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recall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)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)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.</w:t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Для преодоления этой проблемы к базовой модели была добавлена аугментация данных Keras. Однако эксперимент дал неожиданный результат: искусственное изменение картинок не улучшило качество классификации, а привело к небольшому снижению f1-score для всех классов (табл. 3). Анализ причин этого феномена требует отдельного изучения и выходит за рамки данной работы. Из рис. 4 видно, что функция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потерь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на валидационных данных имеет выраженные колебания, а снижение ее величины к концу обучения выражено меньше, чем для модели без аугментации. Вероятно, небольшая сеть не смогла извлечь инвариантные признаки из более разнообразных изображений.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38880" cy="2517775"/>
            <wp:effectExtent l="0" t="0" r="0" b="0"/>
            <wp:wrapTopAndBottom/>
            <wp:docPr id="4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8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Рис.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4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.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Функция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потерь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для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CNN-модели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с аугментацией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87445" cy="2519045"/>
            <wp:effectExtent l="0" t="0" r="0" b="0"/>
            <wp:wrapTopAndBottom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4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Рис.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5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.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Функция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потерь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для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модели с переносом обучения на основе архитектуры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>ResNet50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09670" cy="2534285"/>
            <wp:effectExtent l="0" t="0" r="0" b="0"/>
            <wp:wrapTopAndBottom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67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Рис.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6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.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Функция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потерь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для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 xml:space="preserve">модели с переносом обучения на основе архитектуры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en-US"/>
        </w:rPr>
        <w:t xml:space="preserve">ResNet50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и полным дообучением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  <w:t>.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  <w:lang w:val="ru-RU"/>
        </w:rPr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Наиболее существенное улучшение качества наблюдалось после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переход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а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к парадигме перенос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а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обучения на основе глубокой архитектуры ResNet50. Использование готовых весов помогло нейросети лучше извлекать признаки и улучшило распознавание редких патологий. Macro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f1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-score вырос до 0,56. Для меланом и базальноклеточных карцином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f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1-score увеличился до 0,52 и 0,45, а полнота (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r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ecall) составила 0,53 и 0,39 соответственно.</w:t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Наилучший результат показал финальный этап </w:t>
      </w: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—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размораживание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слоев базовой модели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ResNet50 и полное дообучение всей сети. Это привело к заметному скачку качества: macro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f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1-score достиг 0,63. Для опасных меланом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f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1-score поднялся до 0,55, а для базальноклеточных карцином вырос до 0,63.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Наиболее значимым является рост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полноты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(r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ecall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)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до 0,60 для меланомы и до 0,56 для карциномы.</w:t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На рис. 5 и 6 для модели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на основе архитектуры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ResNet50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н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аблюдаются признаки начинающегося переобучения: снижение функции потерь на обучающей выборке происходит быстрее, чем на валидационной. Однако обучение не прекращалось раньше времени, поскольку коллбек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EarlyStopping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фиксировал новые минимумы валидационной функции потерь и восстанавливал лучшие веса модели после окончания обучения.</w:t>
      </w:r>
      <w:r>
        <w:br w:type="page"/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  <w:t>ЗАКЛЮЧЕНИЕ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В настоящей работе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исследована возможность применения сверточных нейронных сетей для определения типов поражения кожи по изображению. Рассмотрена простая нейронная сеть, а также нейронная сеть на основе переноса обучения из ResNet50. Лучшая модель на основе полного дообучения ResNet50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позволила получить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m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acro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f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1-score 0,63, однако для опасных классов (меланома и базальноклеточная карцинома)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recall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остал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ся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на уровне 0,60 и 0,56 соответственно.</w:t>
      </w:r>
    </w:p>
    <w:p>
      <w:pPr>
        <w:pStyle w:val="Normal"/>
        <w:bidi w:val="0"/>
        <w:spacing w:lineRule="auto" w:line="276"/>
        <w:ind w:firstLine="567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Таким образом, на данном этапе разработанная модель демонстрирует недостаточный уровень точности для решения медицинской задачи классификации поражений кожи, где важно корректное определение редких опасных классов,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и не достигает результатов, описанных в исследовании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[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2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en-US"/>
        </w:rPr>
        <w:t>]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и сравнимых с ручной идентификацией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. Однако, рост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качества классификации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от простых к более сложным моделям показывает потенциал нейронных сетей для решения подобных задач. Существуют возможности для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дальнейшего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повышения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качества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путем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построения нейронных сетей с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более сложн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ой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архитектур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ой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, например,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с использованием 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трансформеров.</w:t>
      </w:r>
      <w:r>
        <w:br w:type="page"/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  <w:t>СПИСОК ЛИТЕРАТУРЫ</w:t>
      </w:r>
    </w:p>
    <w:p>
      <w:pPr>
        <w:pStyle w:val="Normal"/>
        <w:bidi w:val="0"/>
        <w:spacing w:lineRule="auto" w:line="276"/>
        <w:ind w:firstLine="567" w:start="0" w:end="0"/>
        <w:jc w:val="center"/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</w:r>
    </w:p>
    <w:p>
      <w:pPr>
        <w:pStyle w:val="Normal"/>
        <w:numPr>
          <w:ilvl w:val="0"/>
          <w:numId w:val="3"/>
        </w:numPr>
        <w:bidi w:val="0"/>
        <w:spacing w:lineRule="auto" w:line="276"/>
        <w:ind w:firstLine="283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Шолле, Ф. Глубокое обучение на Python / Ф. Шолле; перевод с английского Г. А. Райтмана. – 2-е изд. – Санкт-Петербург : Питер, 2023. – 576 с. – (Серия «Бестселлеры O'Reilly»). – ISBN 978-5-4461-1919-6.</w:t>
      </w:r>
    </w:p>
    <w:p>
      <w:pPr>
        <w:pStyle w:val="Normal"/>
        <w:numPr>
          <w:ilvl w:val="0"/>
          <w:numId w:val="3"/>
        </w:numPr>
        <w:bidi w:val="0"/>
        <w:spacing w:lineRule="auto" w:line="276"/>
        <w:ind w:firstLine="283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Dermatologist-level classification of skin cancer with deep neural networks / A. Esteva, B. Kuprel, R. A. Novoa [et al.] // Nature. – 2017. – Vol. 542, № 7639. – P. 115–118.</w:t>
      </w:r>
    </w:p>
    <w:p>
      <w:pPr>
        <w:pStyle w:val="Normal"/>
        <w:numPr>
          <w:ilvl w:val="0"/>
          <w:numId w:val="3"/>
        </w:numPr>
        <w:bidi w:val="0"/>
        <w:spacing w:lineRule="auto" w:line="276"/>
        <w:ind w:firstLine="283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Keras: Deep Learning for humans : официальный сайт фреймворка Keras. – URL: keras.io (дата обращения: 24.08.2026).</w:t>
      </w:r>
    </w:p>
    <w:p>
      <w:pPr>
        <w:pStyle w:val="Normal"/>
        <w:numPr>
          <w:ilvl w:val="0"/>
          <w:numId w:val="3"/>
        </w:numPr>
        <w:bidi w:val="0"/>
        <w:spacing w:lineRule="auto" w:line="276"/>
        <w:ind w:firstLine="283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Multi-model deep neural network based features extraction and optimal selection approach for skin lesion classification / M. A. Khan, M. Y. Javed, M. Sharif [et al.] // International Conference on Computer and Information Sciences (ICCIS). – IEEE, 2019. – P. 1–7.</w:t>
      </w:r>
    </w:p>
    <w:p>
      <w:pPr>
        <w:pStyle w:val="Normal"/>
        <w:numPr>
          <w:ilvl w:val="0"/>
          <w:numId w:val="3"/>
        </w:numPr>
        <w:bidi w:val="0"/>
        <w:spacing w:lineRule="auto" w:line="276"/>
        <w:ind w:firstLine="283" w:start="0" w:end="0"/>
        <w:jc w:val="both"/>
        <w:rPr/>
      </w:pPr>
      <w:r>
        <w:rPr>
          <w:rStyle w:val="Strong"/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Scikit-learn: Machine Learning in Python</w:t>
      </w: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: официальный сайт библиотеки Scikit-learn. – URL: scikit-learn.org (дата обращения: 24.08.2026).</w:t>
      </w:r>
    </w:p>
    <w:p>
      <w:pPr>
        <w:pStyle w:val="BodyText"/>
        <w:numPr>
          <w:ilvl w:val="0"/>
          <w:numId w:val="3"/>
        </w:numPr>
        <w:bidi w:val="0"/>
        <w:spacing w:lineRule="auto" w:line="276"/>
        <w:ind w:firstLine="283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Skin lesion classification of dermoscopic images using machine learning and convolutional neural network / B. Shetty, R. Fernandes, A. P. Rodrigues [et al.] // Scientific Reports. – 2022. – Vol. 12, № 1. – Article number: 18134. – URL: https://www.nature.com/articles/s41598-022-22644-9 (дата обращения: 24.08.2026).</w:t>
      </w:r>
    </w:p>
    <w:p>
      <w:pPr>
        <w:pStyle w:val="BodyText"/>
        <w:numPr>
          <w:ilvl w:val="0"/>
          <w:numId w:val="3"/>
        </w:numPr>
        <w:bidi w:val="0"/>
        <w:spacing w:lineRule="auto" w:line="276" w:before="0" w:after="140"/>
        <w:ind w:firstLine="283" w:start="0" w:end="0"/>
        <w:jc w:val="both"/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szCs w:val="28"/>
          <w:u w:val="none"/>
          <w:effect w:val="none"/>
          <w:lang w:val="ru-RU"/>
        </w:rPr>
        <w:t>The HAM10000 dataset, a large collection of multi-source dermatoscopic images of common pigmented skin lesions / P. Tschandl, C. Rosendahl, H. Kittler. // Scientific Data. – 2018. – Vol. 5, № 1. – P. 1–9. – URL: nature.com/articles/sdata2018161 (дата обращения: 24.08.2026).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57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57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16">
    <w:name w:val="Исходный текст"/>
    <w:qFormat/>
    <w:rPr>
      <w:rFonts w:ascii="Liberation Mono" w:hAnsi="Liberation Mono" w:eastAsia="NSimSun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Style19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Фигура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548</TotalTime>
  <Application>LibreOffice/24.2.5.2$Windows_X86_64 LibreOffice_project/bffef4ea93e59bebbeaf7f431bb02b1a39ee8a59</Application>
  <AppVersion>15.0000</AppVersion>
  <Pages>15</Pages>
  <Words>2460</Words>
  <Characters>16995</Characters>
  <CharactersWithSpaces>19344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2026-08-23T10:03:59Z</dcterms:created>
  <dc:creator/>
  <dc:description/>
  <dc:language>ru-RU</dc:language>
  <cp:lastModifiedBy/>
  <dcterms:modified xsi:type="dcterms:W3CDTF">2026-08-30T17:04:03Z</dcterms:modified>
  <cp:revision>101</cp:revision>
  <dc:subject/>
  <dc:title/>
</cp:coreProperties>
</file>