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8"/>
        <w:pBdr/>
        <w:spacing/>
        <w:ind/>
        <w:rPr/>
      </w:pPr>
      <w:r>
        <w:t xml:space="preserve">تقرير</w:t>
      </w:r>
      <w:r>
        <w:t xml:space="preserve"> </w:t>
      </w:r>
      <w:r>
        <w:t xml:space="preserve">الأمن</w:t>
      </w:r>
      <w:r>
        <w:t xml:space="preserve"> </w:t>
      </w:r>
      <w:r>
        <w:t xml:space="preserve">السيبراني</w:t>
      </w:r>
      <w:r>
        <w:t xml:space="preserve"> </w:t>
      </w:r>
      <w:r>
        <w:t xml:space="preserve">للإدارة</w:t>
      </w:r>
      <w:r>
        <w:t xml:space="preserve"> </w:t>
      </w:r>
      <w:r>
        <w:t xml:space="preserve">التنفيذية:</w:t>
      </w:r>
      <w:r>
        <w:t xml:space="preserve"> </w:t>
      </w:r>
      <w:r>
        <w:t xml:space="preserve">example.com</w:t>
      </w:r>
      <w:r/>
    </w:p>
    <w:p>
      <w:pPr>
        <w:pStyle w:val="720"/>
        <w:pBdr/>
        <w:spacing/>
        <w:ind/>
        <w:rPr/>
      </w:pPr>
      <w:r>
        <w:t xml:space="preserve">كبير</w:t>
      </w:r>
      <w:r>
        <w:t xml:space="preserve"> </w:t>
      </w:r>
      <w:r>
        <w:t xml:space="preserve">مسؤولي</w:t>
      </w:r>
      <w:r>
        <w:t xml:space="preserve"> </w:t>
      </w:r>
      <w:r>
        <w:t xml:space="preserve">أمن</w:t>
      </w:r>
      <w:r>
        <w:t xml:space="preserve"> </w:t>
      </w:r>
      <w:r>
        <w:t xml:space="preserve">المعلومات</w:t>
      </w:r>
      <w:r/>
    </w:p>
    <w:p>
      <w:pPr>
        <w:pStyle w:val="721"/>
        <w:pBdr/>
        <w:spacing/>
        <w:ind/>
        <w:rPr/>
      </w:pPr>
      <w:r>
        <w:t xml:space="preserve">2025-12-17</w:t>
      </w:r>
      <w:r/>
    </w:p>
    <w:p>
      <w:pPr>
        <w:pStyle w:val="725"/>
        <w:pBdr/>
        <w:spacing/>
        <w:ind/>
        <w:rPr/>
      </w:pPr>
      <w:r/>
      <w:bookmarkStart w:id="20" w:name="الملخص-التنفيذي"/>
      <w:r>
        <w:t xml:space="preserve">الملخص التنفيذي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حالة الأمان: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حرجة</w:t>
      </w:r>
      <w:r>
        <w:t xml:space="preserve"> </w:t>
      </w:r>
      <w:r>
        <w:t xml:space="preserve">- تتطلب تدخلاً فورياً من الإدارة التنفيذية</w:t>
      </w:r>
      <w:r/>
    </w:p>
    <w:p>
      <w:pPr>
        <w:pStyle w:val="715"/>
        <w:pBdr/>
        <w:spacing/>
        <w:ind/>
        <w:rPr/>
      </w:pPr>
      <w:r>
        <w:t xml:space="preserve">كشف التدقيق الأمني لموقعنا الإلكتروني المؤسسي example.com عن ثغرات أمنية خطيرة تشكل</w:t>
      </w:r>
      <w:r>
        <w:t xml:space="preserve"> </w:t>
      </w:r>
      <w:r>
        <w:rPr>
          <w:b/>
          <w:bCs/>
        </w:rPr>
        <w:t xml:space="preserve">تهديداً مباشراً للعمليات التجارية</w:t>
      </w:r>
      <w:r>
        <w:t xml:space="preserve">. بدون اتخاذ إجراءات فورية، تواجه الشركة مخاطر الهجمات السيبرانية وتسريب البيانات وخسائر مالية كبيرة.</w:t>
      </w:r>
      <w:r/>
    </w:p>
    <w:p>
      <w:pPr>
        <w:pStyle w:val="734"/>
        <w:pBdr/>
        <w:spacing/>
        <w:ind/>
        <w:rPr/>
      </w:pPr>
      <w:r>
        <w:rPr>
          <w:b/>
          <w:bCs/>
        </w:rPr>
        <w:t xml:space="preserve">⚠️ التهديد الرئيسي</w:t>
      </w:r>
      <w:r>
        <w:t xml:space="preserve">: تم اكتشاف</w:t>
      </w:r>
      <w:r>
        <w:t xml:space="preserve"> </w:t>
      </w:r>
      <w:r>
        <w:t xml:space="preserve">“</w:t>
      </w:r>
      <w:r>
        <w:t xml:space="preserve">أبواب خلفية</w:t>
      </w:r>
      <w:r>
        <w:t xml:space="preserve">”</w:t>
      </w:r>
      <w:r>
        <w:t xml:space="preserve"> </w:t>
      </w:r>
      <w:r>
        <w:t xml:space="preserve">مفتوحة في النظام (المنافذ 8080/8443) يمكن للمهاجمين استغلالها لتجاوز جميع أنظمة الحماية.</w:t>
      </w:r>
      <w:bookmarkEnd w:id="20"/>
      <w:r/>
    </w:p>
    <w:p>
      <w:pPr>
        <w:pStyle w:val="725"/>
        <w:pBdr/>
        <w:spacing/>
        <w:ind/>
        <w:rPr/>
      </w:pPr>
      <w:r/>
      <w:bookmarkStart w:id="25" w:name="تقييم-التأثير-التجاري-والمخاطر-المالية"/>
      <w:r>
        <w:t xml:space="preserve">تقييم التأثير التجاري والمخاطر المالية</w:t>
      </w:r>
      <w:r/>
    </w:p>
    <w:p>
      <w:pPr>
        <w:pStyle w:val="726"/>
        <w:pBdr/>
        <w:spacing/>
        <w:ind/>
        <w:rPr/>
      </w:pPr>
      <w:r/>
      <w:bookmarkStart w:id="21" w:name="الخسائر-المالية-المحتملة"/>
      <w:r>
        <w:t xml:space="preserve">الخسائر المالية المحتملة</w:t>
      </w:r>
      <w:r/>
    </w:p>
    <w:tbl>
      <w:tblPr>
        <w:tblStyle w:val="73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942"/>
        <w:gridCol w:w="1643"/>
        <w:gridCol w:w="2241"/>
        <w:gridCol w:w="2092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نوع المخاطرة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الاحتمالية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الضرر المحتمل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الإطار الزمني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غرامات GDPR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عالية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€20M - €80M (4% من الإيرادات)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72 ساعة بعد الحادث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توقف الموقع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متوسطة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€50K - €200K/يوم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فوري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تسريب بيانات العملاء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عالية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€500K - €2M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1-30 يوم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 w14:paraId="16109636">
            <w:pPr>
              <w:pBdr/>
              <w:spacing/>
              <w:ind/>
              <w:rPr>
                <w:b/>
                <w:bCs/>
              </w:rPr>
            </w:pPr>
            <w:r/>
            <w:r>
              <w:rPr>
                <w:b/>
                <w:bCs/>
              </w:rPr>
              <w:t xml:space="preserve">الضرر على </w:t>
            </w:r>
            <w:r>
              <w:rPr>
                <w:b/>
                <w:bCs/>
              </w:rPr>
              <w:t xml:space="preserve">السمعة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عالية جداً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€1M - €5M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6-24 شهر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الدعاوى القضائية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متوسطة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€100K - €1M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3-12 شهر</w:t>
            </w:r>
            <w:r/>
          </w:p>
        </w:tc>
      </w:tr>
    </w:tbl>
    <w:p>
      <w:pPr>
        <w:pStyle w:val="715"/>
        <w:pBdr/>
        <w:spacing/>
        <w:ind/>
        <w:rPr/>
      </w:pPr>
      <w:r>
        <w:rPr>
          <w:b/>
          <w:bCs/>
        </w:rPr>
        <w:t xml:space="preserve">إجمالي الضرر المحتمل: €21.65M - €88.2M</w:t>
      </w:r>
      <w:bookmarkEnd w:id="21"/>
      <w:r/>
    </w:p>
    <w:p>
      <w:pPr>
        <w:pStyle w:val="726"/>
        <w:pBdr/>
        <w:spacing/>
        <w:ind/>
        <w:rPr/>
      </w:pPr>
      <w:r/>
      <w:bookmarkStart w:id="24" w:name="سيناريوهات-الهجمات-والعواقب-التجارية"/>
      <w:r>
        <w:t xml:space="preserve">سيناريوهات الهجمات والعواقب التجارية</w:t>
      </w:r>
      <w:r/>
    </w:p>
    <w:p>
      <w:pPr>
        <w:pStyle w:val="727"/>
        <w:pBdr/>
        <w:spacing/>
        <w:ind/>
        <w:rPr/>
      </w:pPr>
      <w:r/>
      <w:bookmarkStart w:id="22" w:name="X0cfd765166a657e4df21f66f23af9c6a7b5cb00"/>
      <w:r>
        <w:t xml:space="preserve">🎯 السيناريو الأول:</w:t>
      </w:r>
      <w:r>
        <w:t xml:space="preserve"> </w:t>
      </w:r>
      <w:r>
        <w:t xml:space="preserve">“</w:t>
      </w:r>
      <w:r>
        <w:t xml:space="preserve">تجاوز الحماية عبر المنفذ 8080</w:t>
      </w:r>
      <w:r>
        <w:t xml:space="preserve">”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آلية الهجوم:</w:t>
      </w:r>
      <w:r>
        <w:t xml:space="preserve"> </w:t>
      </w:r>
      <w:r>
        <w:t xml:space="preserve">1. يكتشف المهاجم المنفذ المفتوح 8080 (نقطة دخول بديلة)</w:t>
      </w:r>
      <w:r>
        <w:t xml:space="preserve"> </w:t>
      </w:r>
      <w:r>
        <w:t xml:space="preserve">2. يستخدمه لتجاوز حماية Cloudflare</w:t>
      </w:r>
      <w:r>
        <w:t xml:space="preserve"> </w:t>
      </w:r>
      <w:r>
        <w:t xml:space="preserve">3. يحصل على وصول للوحة إدارة WordPress</w:t>
      </w:r>
      <w:r>
        <w:t xml:space="preserve"> </w:t>
      </w:r>
      <w:r>
        <w:t xml:space="preserve">4. يثبت برامج ضارة ويسرق قاعدة بيانات العملاء</w:t>
      </w:r>
      <w:r/>
    </w:p>
    <w:p>
      <w:pPr>
        <w:pStyle w:val="715"/>
        <w:pBdr/>
        <w:spacing/>
        <w:ind/>
        <w:rPr/>
      </w:pPr>
      <w:r>
        <w:rPr>
          <w:b/>
          <w:bCs/>
        </w:rPr>
        <w:t xml:space="preserve">التأثير التجاري:</w:t>
      </w:r>
      <w:r>
        <w:t xml:space="preserve"> </w:t>
      </w:r>
      <w:r>
        <w:t xml:space="preserve">- ⏱️</w:t>
      </w:r>
      <w:r>
        <w:t xml:space="preserve"> </w:t>
      </w:r>
      <w:r>
        <w:rPr>
          <w:b/>
          <w:bCs/>
        </w:rPr>
        <w:t xml:space="preserve">مدة الهجوم</w:t>
      </w:r>
      <w:r>
        <w:t xml:space="preserve">: 2-4 ساعات</w:t>
      </w:r>
      <w:r>
        <w:t xml:space="preserve"> </w:t>
      </w:r>
      <w:r>
        <w:t xml:space="preserve">- 💰</w:t>
      </w:r>
      <w:r>
        <w:t xml:space="preserve"> </w:t>
      </w:r>
      <w:r>
        <w:rPr>
          <w:b/>
          <w:bCs/>
        </w:rPr>
        <w:t xml:space="preserve">الخسائر المباشرة</w:t>
      </w:r>
      <w:r>
        <w:t xml:space="preserve">: €2-5M (غرامات + استرداد)</w:t>
      </w:r>
      <w:r>
        <w:t xml:space="preserve"> </w:t>
      </w:r>
      <w:r>
        <w:t xml:space="preserve">- 📉</w:t>
      </w:r>
      <w:r>
        <w:t xml:space="preserve"> </w:t>
      </w:r>
      <w:r>
        <w:rPr>
          <w:b/>
          <w:bCs/>
        </w:rPr>
        <w:t xml:space="preserve">فقدان العملاء</w:t>
      </w:r>
      <w:r>
        <w:t xml:space="preserve">: 15-30% خلال عام واحد</w:t>
      </w:r>
      <w:r>
        <w:t xml:space="preserve"> </w:t>
      </w:r>
      <w:r>
        <w:t xml:space="preserve">- 🏛️</w:t>
      </w:r>
      <w:r>
        <w:t xml:space="preserve"> </w:t>
      </w:r>
      <w:r>
        <w:rPr>
          <w:b/>
          <w:bCs/>
        </w:rPr>
        <w:t xml:space="preserve">العقوبات التنظيمية</w:t>
      </w:r>
      <w:r>
        <w:t xml:space="preserve">: تحقيق GDPR، إيقاف محتمل للأعمال</w:t>
      </w:r>
      <w:bookmarkEnd w:id="22"/>
      <w:r/>
    </w:p>
    <w:p>
      <w:pPr>
        <w:pStyle w:val="727"/>
        <w:pBdr/>
        <w:spacing/>
        <w:ind/>
        <w:rPr/>
      </w:pPr>
      <w:r/>
      <w:bookmarkStart w:id="23" w:name="السيناريو-الثاني-اختراق-wordpress"/>
      <w:r>
        <w:t xml:space="preserve">🎯 السيناريو الثاني:</w:t>
      </w:r>
      <w:r>
        <w:t xml:space="preserve"> </w:t>
      </w:r>
      <w:r>
        <w:t xml:space="preserve">“</w:t>
      </w:r>
      <w:r>
        <w:t xml:space="preserve">اختراق WordPress</w:t>
      </w:r>
      <w:r>
        <w:t xml:space="preserve">”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آلية الهجوم:</w:t>
      </w:r>
      <w:r>
        <w:t xml:space="preserve"> </w:t>
      </w:r>
      <w:r>
        <w:t xml:space="preserve">1. يحدد المهاجم لوحة إدارة WordPress (/wp-admin/)</w:t>
      </w:r>
      <w:r>
        <w:t xml:space="preserve"> </w:t>
      </w:r>
      <w:r>
        <w:t xml:space="preserve">2. ينفذ هجوم القوة الغاشمة على كلمات المرور</w:t>
      </w:r>
      <w:r>
        <w:t xml:space="preserve"> </w:t>
      </w:r>
      <w:r>
        <w:t xml:space="preserve">3. يحصل على السيطرة على الموقع</w:t>
      </w:r>
      <w:r>
        <w:t xml:space="preserve"> </w:t>
      </w:r>
      <w:r>
        <w:t xml:space="preserve">4. ينشر محتوى ضار أو يطالب بفدية</w:t>
      </w:r>
      <w:r/>
    </w:p>
    <w:p>
      <w:pPr>
        <w:pStyle w:val="715"/>
        <w:pBdr/>
        <w:spacing/>
        <w:ind/>
        <w:rPr/>
      </w:pPr>
      <w:r>
        <w:rPr>
          <w:b/>
          <w:bCs/>
        </w:rPr>
        <w:t xml:space="preserve">التأثير التجاري:</w:t>
      </w:r>
      <w:r>
        <w:t xml:space="preserve"> </w:t>
      </w:r>
      <w:r>
        <w:t xml:space="preserve">- ⏱️</w:t>
      </w:r>
      <w:r>
        <w:t xml:space="preserve"> </w:t>
      </w:r>
      <w:r>
        <w:rPr>
          <w:b/>
          <w:bCs/>
        </w:rPr>
        <w:t xml:space="preserve">مدة الهجوم</w:t>
      </w:r>
      <w:r>
        <w:t xml:space="preserve">: 6-24 ساعة</w:t>
      </w:r>
      <w:r>
        <w:t xml:space="preserve"> </w:t>
      </w:r>
      <w:r>
        <w:t xml:space="preserve">- 💰</w:t>
      </w:r>
      <w:r>
        <w:t xml:space="preserve"> </w:t>
      </w:r>
      <w:r>
        <w:rPr>
          <w:b/>
          <w:bCs/>
        </w:rPr>
        <w:t xml:space="preserve">الخسائر المباشرة</w:t>
      </w:r>
      <w:r>
        <w:t xml:space="preserve">: €100K-500K</w:t>
      </w:r>
      <w:r>
        <w:t xml:space="preserve"> </w:t>
      </w:r>
      <w:r>
        <w:t xml:space="preserve">- 🔒</w:t>
      </w:r>
      <w:r>
        <w:t xml:space="preserve"> </w:t>
      </w:r>
      <w:r>
        <w:rPr>
          <w:b/>
          <w:bCs/>
        </w:rPr>
        <w:t xml:space="preserve">مطالبة الفدية</w:t>
      </w:r>
      <w:r>
        <w:t xml:space="preserve">: €50K-200K</w:t>
      </w:r>
      <w:r>
        <w:t xml:space="preserve"> </w:t>
      </w:r>
      <w:r>
        <w:t xml:space="preserve">- 📰</w:t>
      </w:r>
      <w:r>
        <w:t xml:space="preserve"> </w:t>
      </w:r>
      <w:r>
        <w:rPr>
          <w:b/>
          <w:bCs/>
        </w:rPr>
        <w:t xml:space="preserve">فضيحة إعلامية</w:t>
      </w:r>
      <w:r>
        <w:t xml:space="preserve">: تغطية سلبية عن</w:t>
      </w:r>
      <w:r>
        <w:t xml:space="preserve"> </w:t>
      </w:r>
      <w:r>
        <w:t xml:space="preserve">“</w:t>
      </w:r>
      <w:r>
        <w:t xml:space="preserve">شركة أمن سيبراني مخترقة</w:t>
      </w:r>
      <w:r>
        <w:t xml:space="preserve">”</w:t>
      </w:r>
      <w:bookmarkEnd w:id="23"/>
      <w:bookmarkEnd w:id="24"/>
      <w:bookmarkEnd w:id="25"/>
      <w:r/>
    </w:p>
    <w:p>
      <w:pPr>
        <w:pStyle w:val="725"/>
        <w:pBdr/>
        <w:spacing/>
        <w:ind/>
        <w:rPr/>
      </w:pPr>
      <w:r/>
      <w:bookmarkStart w:id="28" w:name="تقييم-نضج-الأمان"/>
      <w:r>
        <w:t xml:space="preserve">تقييم نضج الأمان</w:t>
      </w:r>
      <w:r/>
    </w:p>
    <w:p>
      <w:pPr>
        <w:pStyle w:val="726"/>
        <w:pBdr/>
        <w:spacing/>
        <w:ind/>
        <w:rPr/>
      </w:pPr>
      <w:r/>
      <w:bookmarkStart w:id="26" w:name="المستوى-الحالي-25-مبتدئ"/>
      <w:r>
        <w:t xml:space="preserve">المستوى الحالي: 2/5 (مبتدئ)</w:t>
      </w:r>
      <w:r/>
    </w:p>
    <w:tbl>
      <w:tblPr>
        <w:tblStyle w:val="738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المجال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الحالة الحالية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المستوى المستهدف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الفجوة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إدارة المخاطر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🔴 غائب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🟢 محسّن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حرجة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حماية المحيط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🟡 أساسي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🟢 متقدم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كبيرة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المراقبة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🔴 غائب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🟢 مستمر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حرجة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الاستجابة للحوادث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🔴 غائب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🟢 آلي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حرجة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الامتثال للمعايير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🟡 جزئي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🟢 كامل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متوسطة</w:t>
            </w:r>
            <w:bookmarkEnd w:id="26"/>
            <w:r/>
          </w:p>
        </w:tc>
      </w:tr>
    </w:tbl>
    <w:p>
      <w:pPr>
        <w:pStyle w:val="726"/>
        <w:pBdr/>
        <w:spacing/>
        <w:ind/>
        <w:rPr/>
      </w:pPr>
      <w:r/>
      <w:bookmarkStart w:id="27" w:name="حالة-الامتثال-التنظيمي"/>
      <w:r>
        <w:t xml:space="preserve">حالة الامتثال التنظيمي</w:t>
      </w:r>
      <w:r/>
    </w:p>
    <w:tbl>
      <w:tblPr>
        <w:tblStyle w:val="738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المعيار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الحالة الحالية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الإجراءات المطلوبة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الموعد النهائي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GDPR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⚠️ جزئي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تعزيز حماية البيانات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30 يوم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ISO 27001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❌ غير متوافق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تنفيذ ISMS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6 أشهر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NIST CSF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⚠️ مستوى 2/5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الوصول للمستوى 4/5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3 أشهر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PCI DSS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❓ يتطلب تقييم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إجراء تدقيق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60 يوم</w:t>
            </w:r>
            <w:bookmarkEnd w:id="27"/>
            <w:bookmarkEnd w:id="28"/>
            <w:r/>
          </w:p>
        </w:tc>
      </w:tr>
    </w:tbl>
    <w:p>
      <w:pPr>
        <w:pStyle w:val="725"/>
        <w:pBdr/>
        <w:spacing/>
        <w:ind/>
        <w:rPr/>
      </w:pPr>
      <w:r/>
      <w:bookmarkStart w:id="35" w:name="Xe4b4f53ff421beb20c0f7af32b68cbb730ad69e"/>
      <w:r>
        <w:t xml:space="preserve">الثغرات الحرجة (تتطلب قرار الرئيس التنفيذي/كبير مسؤولي التقنية)</w:t>
      </w:r>
      <w:r/>
    </w:p>
    <w:p>
      <w:pPr>
        <w:pStyle w:val="726"/>
        <w:pBdr/>
        <w:spacing/>
        <w:ind/>
        <w:rPr/>
      </w:pPr>
      <w:r/>
      <w:bookmarkStart w:id="31" w:name="الأولوية-p0-فوري---24-ساعة"/>
      <w:r>
        <w:t xml:space="preserve">🔴 الأولوية P0 (فوري - 24 ساعة)</w:t>
      </w:r>
      <w:r/>
    </w:p>
    <w:p>
      <w:pPr>
        <w:pStyle w:val="727"/>
        <w:pBdr/>
        <w:spacing/>
        <w:ind/>
        <w:rPr/>
      </w:pPr>
      <w:r/>
      <w:bookmarkStart w:id="29" w:name="الأبواب-الخلفية-المفتوحة-في-النظام"/>
      <w:r>
        <w:t xml:space="preserve">1.</w:t>
      </w:r>
      <w:r>
        <w:t xml:space="preserve"> </w:t>
      </w:r>
      <w:r>
        <w:t xml:space="preserve">“</w:t>
      </w:r>
      <w:r>
        <w:t xml:space="preserve">الأبواب الخلفية</w:t>
      </w:r>
      <w:r>
        <w:t xml:space="preserve">”</w:t>
      </w:r>
      <w:r>
        <w:t xml:space="preserve"> </w:t>
      </w:r>
      <w:r>
        <w:t xml:space="preserve">المفتوحة في النظام</w:t>
      </w:r>
      <w:r/>
    </w:p>
    <w:p>
      <w:pPr>
        <w:pStyle w:val="71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المشكلة</w:t>
      </w:r>
      <w:r>
        <w:t xml:space="preserve">: المنافذ 8080 و 8443 تخلق نقاط دخول بديلة</w:t>
      </w:r>
      <w:r/>
    </w:p>
    <w:p>
      <w:pPr>
        <w:pStyle w:val="71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المخاطرة التجارية</w:t>
      </w:r>
      <w:r>
        <w:t xml:space="preserve">: تجاوز جميع أنظمة الأمان</w:t>
      </w:r>
      <w:r/>
    </w:p>
    <w:p>
      <w:pPr>
        <w:pStyle w:val="71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الحل</w:t>
      </w:r>
      <w:r>
        <w:t xml:space="preserve">: إغلاق المنافذ غير المستخدمة</w:t>
      </w:r>
      <w:r/>
    </w:p>
    <w:p>
      <w:pPr>
        <w:pStyle w:val="71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الميزانية</w:t>
      </w:r>
      <w:r>
        <w:t xml:space="preserve">: €0 (تغيير التكوين)</w:t>
      </w:r>
      <w:r/>
    </w:p>
    <w:p>
      <w:pPr>
        <w:pStyle w:val="717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المسؤول</w:t>
      </w:r>
      <w:r>
        <w:t xml:space="preserve">: كبير مسؤولي التقنية + مدير النظام</w:t>
      </w:r>
      <w:bookmarkEnd w:id="29"/>
      <w:r/>
    </w:p>
    <w:p>
      <w:pPr>
        <w:pStyle w:val="727"/>
        <w:pBdr/>
        <w:spacing/>
        <w:ind/>
        <w:rPr/>
      </w:pPr>
      <w:r/>
      <w:bookmarkStart w:id="30" w:name="لوحة-الإدارة-غير-المحمية"/>
      <w:r>
        <w:t xml:space="preserve">2. لوحة الإدارة غير المحمية</w:t>
      </w:r>
      <w:r/>
    </w:p>
    <w:p>
      <w:pPr>
        <w:pStyle w:val="71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المشكلة</w:t>
      </w:r>
      <w:r>
        <w:t xml:space="preserve">: إدارة WordPress متاحة لكامل الإنترنت</w:t>
      </w:r>
      <w:r/>
    </w:p>
    <w:p>
      <w:pPr>
        <w:pStyle w:val="71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المخاطرة التجارية</w:t>
      </w:r>
      <w:r>
        <w:t xml:space="preserve">: اختراق كامل للموقع</w:t>
      </w:r>
      <w:r/>
    </w:p>
    <w:p>
      <w:pPr>
        <w:pStyle w:val="71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الحل</w:t>
      </w:r>
      <w:r>
        <w:t xml:space="preserve">: تقييد الوصول بالـ IP + المصادقة الثنائية</w:t>
      </w:r>
      <w:r/>
    </w:p>
    <w:p>
      <w:pPr>
        <w:pStyle w:val="71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الميزانية</w:t>
      </w:r>
      <w:r>
        <w:t xml:space="preserve">: €2,000-5,000 (تراخيص الأمان)</w:t>
      </w:r>
      <w:r/>
    </w:p>
    <w:p>
      <w:pPr>
        <w:pStyle w:val="717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المسؤول</w:t>
      </w:r>
      <w:r>
        <w:t xml:space="preserve">: كبير مسؤولي التقنية + مدير تقنية المعلومات</w:t>
      </w:r>
      <w:bookmarkEnd w:id="30"/>
      <w:bookmarkEnd w:id="31"/>
      <w:r/>
    </w:p>
    <w:p>
      <w:pPr>
        <w:pStyle w:val="726"/>
        <w:pBdr/>
        <w:spacing/>
        <w:ind/>
        <w:rPr/>
      </w:pPr>
      <w:r/>
      <w:bookmarkStart w:id="34" w:name="الأولوية-p1-أسبوع-واحد"/>
      <w:r>
        <w:t xml:space="preserve">🟠 الأولوية P1 (أسبوع واحد)</w:t>
      </w:r>
      <w:r/>
    </w:p>
    <w:p>
      <w:pPr>
        <w:pStyle w:val="727"/>
        <w:pBdr/>
        <w:spacing/>
        <w:ind/>
        <w:rPr/>
      </w:pPr>
      <w:r/>
      <w:bookmarkStart w:id="32" w:name="غياب-نظام-الإنذار-المبكر"/>
      <w:r>
        <w:t xml:space="preserve">3. غياب نظام الإنذار المبكر</w:t>
      </w:r>
      <w:r/>
    </w:p>
    <w:p>
      <w:pPr>
        <w:pStyle w:val="71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المشكلة</w:t>
      </w:r>
      <w:r>
        <w:t xml:space="preserve">: قد تبقى الهجمات غير مكتشفة لساعات/أيام</w:t>
      </w:r>
      <w:r/>
    </w:p>
    <w:p>
      <w:pPr>
        <w:pStyle w:val="71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المخاطرة التجارية</w:t>
      </w:r>
      <w:r>
        <w:t xml:space="preserve">: زيادة أضرار الحوادث بـ 5-10 مرات</w:t>
      </w:r>
      <w:r/>
    </w:p>
    <w:p>
      <w:pPr>
        <w:pStyle w:val="71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الحل</w:t>
      </w:r>
      <w:r>
        <w:t xml:space="preserve">: تنفيذ SOC (مركز عمليات الأمان)</w:t>
      </w:r>
      <w:r/>
    </w:p>
    <w:p>
      <w:pPr>
        <w:pStyle w:val="71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الميزانية</w:t>
      </w:r>
      <w:r>
        <w:t xml:space="preserve">: €15,000-30,000/سنة</w:t>
      </w:r>
      <w:r/>
    </w:p>
    <w:p>
      <w:pPr>
        <w:pStyle w:val="717"/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المسؤول</w:t>
      </w:r>
      <w:r>
        <w:t xml:space="preserve">: كبير مسؤولي أمن المعلومات + مقاول خارجي</w:t>
      </w:r>
      <w:bookmarkEnd w:id="32"/>
      <w:r/>
    </w:p>
    <w:p>
      <w:pPr>
        <w:pStyle w:val="727"/>
        <w:pBdr/>
        <w:spacing/>
        <w:ind/>
        <w:rPr/>
      </w:pPr>
      <w:r/>
      <w:bookmarkStart w:id="33" w:name="بروتوكولات-التشفير-القديمة"/>
      <w:r>
        <w:t xml:space="preserve">4. بروتوكولات التشفير القديمة</w:t>
      </w:r>
      <w:r/>
    </w:p>
    <w:p>
      <w:pPr>
        <w:pStyle w:val="71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المشكلة</w:t>
      </w:r>
      <w:r>
        <w:t xml:space="preserve">: استخدام خوارزميات تشفير معرضة للخطر</w:t>
      </w:r>
      <w:r/>
    </w:p>
    <w:p>
      <w:pPr>
        <w:pStyle w:val="71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المخاطرة التجارية</w:t>
      </w:r>
      <w:r>
        <w:t xml:space="preserve">: اعتراض البيانات السرية</w:t>
      </w:r>
      <w:r/>
    </w:p>
    <w:p>
      <w:pPr>
        <w:pStyle w:val="71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الحل</w:t>
      </w:r>
      <w:r>
        <w:t xml:space="preserve">: تحديث تكوين SSL/TLS</w:t>
      </w:r>
      <w:r/>
    </w:p>
    <w:p>
      <w:pPr>
        <w:pStyle w:val="71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الميزانية</w:t>
      </w:r>
      <w:r>
        <w:t xml:space="preserve">: €3,000-8,000 (استشارات + تنفيذ)</w:t>
      </w:r>
      <w:r/>
    </w:p>
    <w:p>
      <w:pPr>
        <w:pStyle w:val="717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المسؤول</w:t>
      </w:r>
      <w:r>
        <w:t xml:space="preserve">: كبير مسؤولي التقنية + خبير خارجي</w:t>
      </w:r>
      <w:bookmarkEnd w:id="33"/>
      <w:bookmarkEnd w:id="34"/>
      <w:bookmarkEnd w:id="35"/>
      <w:r/>
    </w:p>
    <w:p>
      <w:pPr>
        <w:pStyle w:val="725"/>
        <w:pBdr/>
        <w:spacing/>
        <w:ind/>
        <w:rPr/>
      </w:pPr>
      <w:r/>
      <w:bookmarkStart w:id="43" w:name="التوصيات-للإدارة-التنفيذية"/>
      <w:r>
        <w:t xml:space="preserve">التوصيات للإدارة التنفيذية</w:t>
      </w:r>
      <w:r/>
    </w:p>
    <w:p>
      <w:pPr>
        <w:pStyle w:val="726"/>
        <w:pBdr/>
        <w:spacing/>
        <w:ind/>
        <w:rPr/>
      </w:pPr>
      <w:r/>
      <w:bookmarkStart w:id="39" w:name="X2c60cc0d29229f2b597ab059220e250c0cbcc99"/>
      <w:r>
        <w:t xml:space="preserve">الإجراءات الفورية (تتطلب موافقة الرئيس التنفيذي)</w:t>
      </w:r>
      <w:r/>
    </w:p>
    <w:p>
      <w:pPr>
        <w:pStyle w:val="727"/>
        <w:pBdr/>
        <w:spacing/>
        <w:ind/>
        <w:rPr/>
      </w:pPr>
      <w:r/>
      <w:bookmarkStart w:id="36" w:name="تشكيل-فريق-الاستجابة-للأزمات"/>
      <w:r>
        <w:t xml:space="preserve">1. تشكيل فريق الاستجابة للأزمات</w:t>
      </w:r>
      <w:r/>
    </w:p>
    <w:p>
      <w:pPr>
        <w:pStyle w:val="717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التركيب</w:t>
      </w:r>
      <w:r>
        <w:t xml:space="preserve">: كبير مسؤولي التقنية، كبير مسؤولي أمن المعلومات، المستشار القانوني، مدير العلاقات العامة</w:t>
      </w:r>
      <w:r/>
    </w:p>
    <w:p>
      <w:pPr>
        <w:pStyle w:val="717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الهدف</w:t>
      </w:r>
      <w:r>
        <w:t xml:space="preserve">: تنسيق معالجة الثغرات الحرجة</w:t>
      </w:r>
      <w:r/>
    </w:p>
    <w:p>
      <w:pPr>
        <w:pStyle w:val="717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الميزانية</w:t>
      </w:r>
      <w:r>
        <w:t xml:space="preserve">: €10,000 (ساعات إضافية + استشارات)</w:t>
      </w:r>
      <w:r/>
    </w:p>
    <w:p>
      <w:pPr>
        <w:pStyle w:val="717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الجدول الزمني</w:t>
      </w:r>
      <w:r>
        <w:t xml:space="preserve">: التأسيس خلال 24 ساعة</w:t>
      </w:r>
      <w:bookmarkEnd w:id="36"/>
      <w:r/>
    </w:p>
    <w:p>
      <w:pPr>
        <w:pStyle w:val="727"/>
        <w:pBdr/>
        <w:spacing/>
        <w:ind/>
        <w:rPr/>
      </w:pPr>
      <w:r/>
      <w:bookmarkStart w:id="37" w:name="تدقيق-طارئ-لجميع-أنظمة-تقنية-المعلومات"/>
      <w:r>
        <w:t xml:space="preserve">2. تدقيق طارئ لجميع أنظمة تقنية المعلومات</w:t>
      </w:r>
      <w:r/>
    </w:p>
    <w:p>
      <w:pPr>
        <w:pStyle w:val="717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الغرض</w:t>
      </w:r>
      <w:r>
        <w:t xml:space="preserve">: تحديد مشاكل مماثلة في أنظمة أخرى</w:t>
      </w:r>
      <w:r/>
    </w:p>
    <w:p>
      <w:pPr>
        <w:pStyle w:val="717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المنفذ</w:t>
      </w:r>
      <w:r>
        <w:t xml:space="preserve">: شركة أمن سيبراني خارجية</w:t>
      </w:r>
      <w:r/>
    </w:p>
    <w:p>
      <w:pPr>
        <w:pStyle w:val="717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الميزانية</w:t>
      </w:r>
      <w:r>
        <w:t xml:space="preserve">: €25,000-50,000</w:t>
      </w:r>
      <w:r/>
    </w:p>
    <w:p>
      <w:pPr>
        <w:pStyle w:val="717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الجدول الزمني</w:t>
      </w:r>
      <w:r>
        <w:t xml:space="preserve">: أسبوعان</w:t>
      </w:r>
      <w:bookmarkEnd w:id="37"/>
      <w:r/>
    </w:p>
    <w:p>
      <w:pPr>
        <w:pStyle w:val="727"/>
        <w:pBdr/>
        <w:spacing/>
        <w:ind/>
        <w:rPr/>
      </w:pPr>
      <w:r/>
      <w:bookmarkStart w:id="38" w:name="تنفيذ-نظام-مراقبة-247"/>
      <w:r>
        <w:t xml:space="preserve">3. تنفيذ نظام مراقبة 24/7</w:t>
      </w:r>
      <w:r/>
    </w:p>
    <w:p>
      <w:pPr>
        <w:pStyle w:val="717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الغرض</w:t>
      </w:r>
      <w:r>
        <w:t xml:space="preserve">: اكتشاف الهجمات في الوقت الفعلي</w:t>
      </w:r>
      <w:r/>
    </w:p>
    <w:p>
      <w:pPr>
        <w:pStyle w:val="717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الحل</w:t>
      </w:r>
      <w:r>
        <w:t xml:space="preserve">: SOC كخدمة أو SOC داخلي</w:t>
      </w:r>
      <w:r/>
    </w:p>
    <w:p>
      <w:pPr>
        <w:pStyle w:val="717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الميزانية</w:t>
      </w:r>
      <w:r>
        <w:t xml:space="preserve">: €20,000-40,000/سنة</w:t>
      </w:r>
      <w:r/>
    </w:p>
    <w:p>
      <w:pPr>
        <w:pStyle w:val="717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الجدول الزمني</w:t>
      </w:r>
      <w:r>
        <w:t xml:space="preserve">: 30 يوم</w:t>
      </w:r>
      <w:bookmarkEnd w:id="38"/>
      <w:bookmarkEnd w:id="39"/>
      <w:r/>
    </w:p>
    <w:p>
      <w:pPr>
        <w:pStyle w:val="726"/>
        <w:pBdr/>
        <w:spacing/>
        <w:ind/>
        <w:rPr/>
      </w:pPr>
      <w:r/>
      <w:bookmarkStart w:id="42" w:name="المبادرات-الاستراتيجية-3-6-أشهر"/>
      <w:r>
        <w:t xml:space="preserve">المبادرات الاستراتيجية (3-6 أشهر)</w:t>
      </w:r>
      <w:r/>
    </w:p>
    <w:p>
      <w:pPr>
        <w:pStyle w:val="727"/>
        <w:pBdr/>
        <w:spacing/>
        <w:ind/>
        <w:rPr/>
      </w:pPr>
      <w:r/>
      <w:bookmarkStart w:id="40" w:name="برنامج-تعزيز-نضج-الأمان"/>
      <w:r>
        <w:t xml:space="preserve">4. برنامج تعزيز نضج الأمان</w:t>
      </w:r>
      <w:r/>
    </w:p>
    <w:p>
      <w:pPr>
        <w:pStyle w:val="717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الهدف</w:t>
      </w:r>
      <w:r>
        <w:t xml:space="preserve">: الوصول للمستوى 4/5 في NIST CSF</w:t>
      </w:r>
      <w:r/>
    </w:p>
    <w:p>
      <w:pPr>
        <w:pStyle w:val="717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يشمل</w:t>
      </w:r>
      <w:r>
        <w:t xml:space="preserve">:</w:t>
      </w:r>
      <w:r/>
    </w:p>
    <w:p>
      <w:pPr>
        <w:pStyle w:val="717"/>
        <w:numPr>
          <w:ilvl w:val="1"/>
          <w:numId w:val="10"/>
        </w:numPr>
        <w:pBdr/>
        <w:spacing/>
        <w:ind/>
        <w:rPr/>
      </w:pPr>
      <w:r>
        <w:t xml:space="preserve">تنفيذ ISMS (ISO 27001)</w:t>
      </w:r>
      <w:r/>
    </w:p>
    <w:p>
      <w:pPr>
        <w:pStyle w:val="717"/>
        <w:numPr>
          <w:ilvl w:val="1"/>
          <w:numId w:val="10"/>
        </w:numPr>
        <w:pBdr/>
        <w:spacing/>
        <w:ind/>
        <w:rPr/>
      </w:pPr>
      <w:r>
        <w:t xml:space="preserve">أتمتة عمليات الأمان</w:t>
      </w:r>
      <w:r/>
    </w:p>
    <w:p>
      <w:pPr>
        <w:pStyle w:val="717"/>
        <w:numPr>
          <w:ilvl w:val="1"/>
          <w:numId w:val="10"/>
        </w:numPr>
        <w:pBdr/>
        <w:spacing/>
        <w:ind/>
        <w:rPr/>
      </w:pPr>
      <w:r>
        <w:t xml:space="preserve">تدريب الموظفين</w:t>
      </w:r>
      <w:r/>
    </w:p>
    <w:p>
      <w:pPr>
        <w:pStyle w:val="717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الميزانية</w:t>
      </w:r>
      <w:r>
        <w:t xml:space="preserve">: €100,000-200,000</w:t>
      </w:r>
      <w:r/>
    </w:p>
    <w:p>
      <w:pPr>
        <w:pStyle w:val="717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العائد على الاستثمار</w:t>
      </w:r>
      <w:r>
        <w:t xml:space="preserve">: تقليل المخاطر بـ €5-10M</w:t>
      </w:r>
      <w:bookmarkEnd w:id="40"/>
      <w:r/>
    </w:p>
    <w:p>
      <w:pPr>
        <w:pStyle w:val="727"/>
        <w:pBdr/>
        <w:spacing/>
        <w:ind/>
        <w:rPr/>
      </w:pPr>
      <w:r/>
      <w:bookmarkStart w:id="41" w:name="شهادة-iso-27001"/>
      <w:r>
        <w:t xml:space="preserve">5. شهادة ISO 27001</w:t>
      </w:r>
      <w:r/>
    </w:p>
    <w:p>
      <w:pPr>
        <w:pStyle w:val="717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الغرض</w:t>
      </w:r>
      <w:r>
        <w:t xml:space="preserve">: إظهار معايير أمان عالية للعملاء</w:t>
      </w:r>
      <w:r/>
    </w:p>
    <w:p>
      <w:pPr>
        <w:pStyle w:val="717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الفوائد</w:t>
      </w:r>
      <w:r>
        <w:t xml:space="preserve">:</w:t>
      </w:r>
      <w:r/>
    </w:p>
    <w:p>
      <w:pPr>
        <w:pStyle w:val="717"/>
        <w:numPr>
          <w:ilvl w:val="1"/>
          <w:numId w:val="12"/>
        </w:numPr>
        <w:pBdr/>
        <w:spacing/>
        <w:ind/>
        <w:rPr/>
      </w:pPr>
      <w:r>
        <w:t xml:space="preserve">ميزة تنافسية في المناقصات</w:t>
      </w:r>
      <w:r/>
    </w:p>
    <w:p>
      <w:pPr>
        <w:pStyle w:val="717"/>
        <w:numPr>
          <w:ilvl w:val="1"/>
          <w:numId w:val="12"/>
        </w:numPr>
        <w:pBdr/>
        <w:spacing/>
        <w:ind/>
        <w:rPr/>
      </w:pPr>
      <w:r>
        <w:t xml:space="preserve">تقليل أقساط التأمين بـ 20-30%</w:t>
      </w:r>
      <w:r/>
    </w:p>
    <w:p>
      <w:pPr>
        <w:pStyle w:val="717"/>
        <w:numPr>
          <w:ilvl w:val="1"/>
          <w:numId w:val="12"/>
        </w:numPr>
        <w:pBdr/>
        <w:spacing/>
        <w:ind/>
        <w:rPr/>
      </w:pPr>
      <w:r>
        <w:t xml:space="preserve">تعزيز ثقة العملاء</w:t>
      </w:r>
      <w:r/>
    </w:p>
    <w:p>
      <w:pPr>
        <w:pStyle w:val="717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الميزانية</w:t>
      </w:r>
      <w:r>
        <w:t xml:space="preserve">: €50,000-80,000</w:t>
      </w:r>
      <w:r/>
    </w:p>
    <w:p>
      <w:pPr>
        <w:pStyle w:val="717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الجدول الزمني</w:t>
      </w:r>
      <w:r>
        <w:t xml:space="preserve">: 6-9 أشهر</w:t>
      </w:r>
      <w:bookmarkEnd w:id="41"/>
      <w:bookmarkEnd w:id="42"/>
      <w:bookmarkEnd w:id="43"/>
      <w:r/>
    </w:p>
    <w:p>
      <w:pPr>
        <w:pStyle w:val="725"/>
        <w:pBdr/>
        <w:spacing/>
        <w:ind/>
        <w:rPr/>
      </w:pPr>
      <w:r/>
      <w:bookmarkStart w:id="47" w:name="مؤشرات-الأداء-الرئيسية-والمقاييس"/>
      <w:r>
        <w:t xml:space="preserve">مؤشرات الأداء الرئيسية والمقاييس</w:t>
      </w:r>
      <w:r/>
    </w:p>
    <w:p>
      <w:pPr>
        <w:pStyle w:val="726"/>
        <w:pBdr/>
        <w:spacing/>
        <w:ind/>
        <w:rPr/>
      </w:pPr>
      <w:r/>
      <w:bookmarkStart w:id="44" w:name="المقاييس-التشغيلية-يوميا"/>
      <w:r>
        <w:t xml:space="preserve">المقاييس التشغيلية (يومياً)</w:t>
      </w:r>
      <w:r/>
    </w:p>
    <w:p>
      <w:pPr>
        <w:pStyle w:val="717"/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وقت اكتشاف الحوادث</w:t>
      </w:r>
      <w:r>
        <w:t xml:space="preserve">: &lt; 15 دقيقة (الهدف)</w:t>
      </w:r>
      <w:r/>
    </w:p>
    <w:p>
      <w:pPr>
        <w:pStyle w:val="717"/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وقت الاستجابة للتهديدات الحرجة</w:t>
      </w:r>
      <w:r>
        <w:t xml:space="preserve">: &lt; ساعة واحدة</w:t>
      </w:r>
      <w:r/>
    </w:p>
    <w:p>
      <w:pPr>
        <w:pStyle w:val="717"/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توفر الأنظمة</w:t>
      </w:r>
      <w:r>
        <w:t xml:space="preserve">: &gt; 99.9%</w:t>
      </w:r>
      <w:r/>
    </w:p>
    <w:p>
      <w:pPr>
        <w:pStyle w:val="717"/>
        <w:numPr>
          <w:ilvl w:val="0"/>
          <w:numId w:val="13"/>
        </w:numPr>
        <w:pBdr/>
        <w:spacing/>
        <w:ind/>
        <w:rPr/>
      </w:pPr>
      <w:r>
        <w:rPr>
          <w:b/>
          <w:bCs/>
        </w:rPr>
        <w:t xml:space="preserve">عدد الهجمات المحجوبة</w:t>
      </w:r>
      <w:r>
        <w:t xml:space="preserve">: تقرير كل 24 ساعة</w:t>
      </w:r>
      <w:bookmarkEnd w:id="44"/>
      <w:r/>
    </w:p>
    <w:p>
      <w:pPr>
        <w:pStyle w:val="726"/>
        <w:pBdr/>
        <w:spacing/>
        <w:ind/>
        <w:rPr/>
      </w:pPr>
      <w:r/>
      <w:bookmarkStart w:id="45" w:name="المقاييس-الاستراتيجية-شهريا"/>
      <w:r>
        <w:t xml:space="preserve">المقاييس الاستراتيجية (شهرياً)</w:t>
      </w:r>
      <w:r/>
    </w:p>
    <w:p>
      <w:pPr>
        <w:pStyle w:val="717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% الثغرات الحرجة المغلقة</w:t>
      </w:r>
      <w:r>
        <w:t xml:space="preserve">: 100% خلال 24 ساعة</w:t>
      </w:r>
      <w:r/>
    </w:p>
    <w:p>
      <w:pPr>
        <w:pStyle w:val="717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مستوى نضج الأمان</w:t>
      </w:r>
      <w:r>
        <w:t xml:space="preserve">: التقدم نحو المستوى 4/5</w:t>
      </w:r>
      <w:r/>
    </w:p>
    <w:p>
      <w:pPr>
        <w:pStyle w:val="717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الامتثال التنظيمي</w:t>
      </w:r>
      <w:r>
        <w:t xml:space="preserve">: % الإنجاز</w:t>
      </w:r>
      <w:r/>
    </w:p>
    <w:p>
      <w:pPr>
        <w:pStyle w:val="717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الاستثمار في الأمان</w:t>
      </w:r>
      <w:r>
        <w:t xml:space="preserve">: % من ميزانية تقنية المعلومات (موصى 10-15%)</w:t>
      </w:r>
      <w:bookmarkEnd w:id="45"/>
      <w:r/>
    </w:p>
    <w:p>
      <w:pPr>
        <w:pStyle w:val="726"/>
        <w:pBdr/>
        <w:spacing/>
        <w:ind/>
        <w:rPr/>
      </w:pPr>
      <w:r/>
      <w:bookmarkStart w:id="46" w:name="المقاييس-التجارية-ربع-سنوي"/>
      <w:r>
        <w:t xml:space="preserve">المقاييس التجارية (ربع سنوي)</w:t>
      </w:r>
      <w:r/>
    </w:p>
    <w:p>
      <w:pPr>
        <w:pStyle w:val="717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قيمة الأضرار المنعة</w:t>
      </w:r>
      <w:r>
        <w:t xml:space="preserve">: حساب العائد على الاستثمار</w:t>
      </w:r>
      <w:r/>
    </w:p>
    <w:p>
      <w:pPr>
        <w:pStyle w:val="717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مؤشر ثقة العملاء</w:t>
      </w:r>
      <w:r>
        <w:t xml:space="preserve">: استطلاعات و NPS</w:t>
      </w:r>
      <w:r/>
    </w:p>
    <w:p>
      <w:pPr>
        <w:pStyle w:val="717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تقدم الشهادات</w:t>
      </w:r>
      <w:r>
        <w:t xml:space="preserve">: تقدم ISO 27001</w:t>
      </w:r>
      <w:r/>
    </w:p>
    <w:p>
      <w:pPr>
        <w:pStyle w:val="717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تقليل أقساط التأمين</w:t>
      </w:r>
      <w:r>
        <w:t xml:space="preserve">: وفورات من تحسين الأمان</w:t>
      </w:r>
      <w:bookmarkEnd w:id="46"/>
      <w:bookmarkEnd w:id="47"/>
      <w:r/>
    </w:p>
    <w:p>
      <w:pPr>
        <w:pStyle w:val="725"/>
        <w:pBdr/>
        <w:spacing/>
        <w:ind/>
        <w:rPr/>
      </w:pPr>
      <w:r/>
      <w:bookmarkStart w:id="50" w:name="الميزانية-وتخصيص-الموارد"/>
      <w:r>
        <w:t xml:space="preserve">الميزانية وتخصيص الموارد</w:t>
      </w:r>
      <w:r/>
    </w:p>
    <w:p>
      <w:pPr>
        <w:pStyle w:val="726"/>
        <w:pBdr/>
        <w:spacing/>
        <w:ind/>
        <w:rPr/>
      </w:pPr>
      <w:r/>
      <w:bookmarkStart w:id="48" w:name="الاستثمارات-الطارئة-0-30-يوم"/>
      <w:r>
        <w:t xml:space="preserve">الاستثمارات الطارئة (0-30 يوم)</w:t>
      </w:r>
      <w:r/>
    </w:p>
    <w:tbl>
      <w:tblPr>
        <w:tblStyle w:val="738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البند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المبلغ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المبرر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فريق الأزمات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€10,000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تنسيق معالجة التهديدات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التدقيق الطارئ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€40,000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تحديد شامل للثغرات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خدمة SOC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€30,000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مراقبة 24/7 (اشتراك سنوي)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استشارات الخبراء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€15,000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الدعم التقني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المجموع الطارئ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€95,000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يمنع أضرار €20M+</w:t>
            </w:r>
            <w:bookmarkEnd w:id="48"/>
            <w:r/>
          </w:p>
        </w:tc>
      </w:tr>
    </w:tbl>
    <w:p>
      <w:pPr>
        <w:pStyle w:val="726"/>
        <w:pBdr/>
        <w:spacing/>
        <w:ind/>
        <w:rPr/>
      </w:pPr>
      <w:r/>
      <w:bookmarkStart w:id="49" w:name="الاستثمارات-الاستراتيجية-3-12-شهر"/>
      <w:r>
        <w:t xml:space="preserve">الاستثمارات الاستراتيجية (3-12 شهر)</w:t>
      </w:r>
      <w:r/>
    </w:p>
    <w:tbl>
      <w:tblPr>
        <w:tblStyle w:val="738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البند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المبلغ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العائد على الاستثمار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برنامج نضج الأمان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€150,000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تقليل مخاطر €8M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شهادة ISO 27001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€65,000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مزايا تنافسية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تدريب الموظفين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€25,000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تقليل العامل البشري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أتمتة العمليات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€80,000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t xml:space="preserve">وفورات تشغيلية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المجموع الاستراتيجي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€320,000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7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العائد: 2500%</w:t>
            </w:r>
            <w:bookmarkEnd w:id="49"/>
            <w:bookmarkEnd w:id="50"/>
            <w:r/>
          </w:p>
        </w:tc>
      </w:tr>
    </w:tbl>
    <w:p>
      <w:pPr>
        <w:pStyle w:val="725"/>
        <w:pBdr/>
        <w:spacing/>
        <w:ind/>
        <w:rPr/>
      </w:pPr>
      <w:r/>
      <w:bookmarkStart w:id="53" w:name="المزايا-التنافسية-من-الاستثمار"/>
      <w:r>
        <w:t xml:space="preserve">المزايا التنافسية من الاستثمار</w:t>
      </w:r>
      <w:r/>
    </w:p>
    <w:p>
      <w:pPr>
        <w:pStyle w:val="726"/>
        <w:pBdr/>
        <w:spacing/>
        <w:ind/>
        <w:rPr/>
      </w:pPr>
      <w:r/>
      <w:bookmarkStart w:id="51" w:name="الفوائد-قصيرة-المدى-1-3-أشهر"/>
      <w:r>
        <w:t xml:space="preserve">الفوائد قصيرة المدى (1-3 أشهر)</w:t>
      </w:r>
      <w:r/>
    </w:p>
    <w:p>
      <w:pPr>
        <w:pStyle w:val="717"/>
        <w:numPr>
          <w:ilvl w:val="0"/>
          <w:numId w:val="16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منع الأزمات</w:t>
      </w:r>
      <w:r>
        <w:t xml:space="preserve">: تجنب الغرامات والأضرار السمعية</w:t>
      </w:r>
      <w:r/>
    </w:p>
    <w:p>
      <w:pPr>
        <w:pStyle w:val="717"/>
        <w:numPr>
          <w:ilvl w:val="0"/>
          <w:numId w:val="16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الاستقرار التشغيلي</w:t>
      </w:r>
      <w:r>
        <w:t xml:space="preserve">: ضمان توفر الخدمات</w:t>
      </w:r>
      <w:r/>
    </w:p>
    <w:p>
      <w:pPr>
        <w:pStyle w:val="717"/>
        <w:numPr>
          <w:ilvl w:val="0"/>
          <w:numId w:val="16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الجاهزية التنظيمية</w:t>
      </w:r>
      <w:r>
        <w:t xml:space="preserve">: الاستعداد لعمليات التدقيق</w:t>
      </w:r>
      <w:bookmarkEnd w:id="51"/>
      <w:r/>
    </w:p>
    <w:p>
      <w:pPr>
        <w:pStyle w:val="726"/>
        <w:pBdr/>
        <w:spacing/>
        <w:ind/>
        <w:rPr/>
      </w:pPr>
      <w:r/>
      <w:bookmarkStart w:id="52" w:name="الفوائد-طويلة-المدى-6-12-شهر"/>
      <w:r>
        <w:t xml:space="preserve">الفوائد طويلة المدى (6-12 شهر)</w:t>
      </w:r>
      <w:r/>
    </w:p>
    <w:p>
      <w:pPr>
        <w:pStyle w:val="717"/>
        <w:numPr>
          <w:ilvl w:val="0"/>
          <w:numId w:val="17"/>
        </w:numPr>
        <w:pBdr/>
        <w:spacing/>
        <w:ind/>
        <w:rPr/>
      </w:pPr>
      <w:r>
        <w:t xml:space="preserve">🏆</w:t>
      </w:r>
      <w:r>
        <w:t xml:space="preserve"> </w:t>
      </w:r>
      <w:r>
        <w:rPr>
          <w:b/>
          <w:bCs/>
        </w:rPr>
        <w:t xml:space="preserve">الريادة في القطاع</w:t>
      </w:r>
      <w:r>
        <w:t xml:space="preserve">: إظهار أعلى معايير الأمان</w:t>
      </w:r>
      <w:r/>
    </w:p>
    <w:p>
      <w:pPr>
        <w:pStyle w:val="717"/>
        <w:numPr>
          <w:ilvl w:val="0"/>
          <w:numId w:val="17"/>
        </w:numPr>
        <w:pBdr/>
        <w:spacing/>
        <w:ind/>
        <w:rPr/>
      </w:pPr>
      <w:r>
        <w:t xml:space="preserve">💼</w:t>
      </w:r>
      <w:r>
        <w:t xml:space="preserve"> </w:t>
      </w:r>
      <w:r>
        <w:rPr>
          <w:b/>
          <w:bCs/>
        </w:rPr>
        <w:t xml:space="preserve">فرص جديدة</w:t>
      </w:r>
      <w:r>
        <w:t xml:space="preserve">: المشاركة في مناقصات عالية الأمان</w:t>
      </w:r>
      <w:r/>
    </w:p>
    <w:p>
      <w:pPr>
        <w:pStyle w:val="717"/>
        <w:numPr>
          <w:ilvl w:val="0"/>
          <w:numId w:val="17"/>
        </w:numPr>
        <w:pBdr/>
        <w:spacing/>
        <w:ind/>
        <w:rPr/>
      </w:pPr>
      <w:r>
        <w:t xml:space="preserve">💰</w:t>
      </w:r>
      <w:r>
        <w:t xml:space="preserve"> </w:t>
      </w:r>
      <w:r>
        <w:rPr>
          <w:b/>
          <w:bCs/>
        </w:rPr>
        <w:t xml:space="preserve">وفورات التكلفة</w:t>
      </w:r>
      <w:r>
        <w:t xml:space="preserve">: تقليل أقساط التأمين والمخاطر التشغيلية</w:t>
      </w:r>
      <w:r/>
    </w:p>
    <w:p>
      <w:pPr>
        <w:pStyle w:val="717"/>
        <w:numPr>
          <w:ilvl w:val="0"/>
          <w:numId w:val="17"/>
        </w:numPr>
        <w:pBdr/>
        <w:spacing/>
        <w:ind/>
        <w:rPr/>
      </w:pPr>
      <w:r>
        <w:t xml:space="preserve">🤝</w:t>
      </w:r>
      <w:r>
        <w:t xml:space="preserve"> </w:t>
      </w:r>
      <w:r>
        <w:rPr>
          <w:b/>
          <w:bCs/>
        </w:rPr>
        <w:t xml:space="preserve">ثقة العملاء</w:t>
      </w:r>
      <w:r>
        <w:t xml:space="preserve">: تعزيز الولاء وجذب عملاء جدد</w:t>
      </w:r>
      <w:bookmarkEnd w:id="52"/>
      <w:bookmarkEnd w:id="53"/>
      <w:r/>
    </w:p>
    <w:p>
      <w:pPr>
        <w:pStyle w:val="725"/>
        <w:pBdr/>
        <w:spacing/>
        <w:ind/>
        <w:rPr/>
      </w:pPr>
      <w:r/>
      <w:bookmarkStart w:id="57" w:name="مخاطر-عدم-العمل"/>
      <w:r>
        <w:t xml:space="preserve">مخاطر عدم العمل</w:t>
      </w:r>
      <w:r/>
    </w:p>
    <w:p>
      <w:pPr>
        <w:pStyle w:val="726"/>
        <w:pBdr/>
        <w:spacing/>
        <w:ind/>
        <w:rPr/>
      </w:pPr>
      <w:r/>
      <w:bookmarkStart w:id="54" w:name="سيناريو-عدم-فعل-شيء"/>
      <w:r>
        <w:t xml:space="preserve">سيناريو</w:t>
      </w:r>
      <w:r>
        <w:t xml:space="preserve"> </w:t>
      </w:r>
      <w:r>
        <w:t xml:space="preserve">“</w:t>
      </w:r>
      <w:r>
        <w:t xml:space="preserve">عدم فعل شيء</w:t>
      </w:r>
      <w:r>
        <w:t xml:space="preserve">”</w:t>
      </w:r>
      <w:r/>
    </w:p>
    <w:p>
      <w:pPr>
        <w:pStyle w:val="717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احتمالية الحادث</w:t>
      </w:r>
      <w:r>
        <w:t xml:space="preserve">: 85% خلال 6 أشهر</w:t>
      </w:r>
      <w:r/>
    </w:p>
    <w:p>
      <w:pPr>
        <w:pStyle w:val="717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الضرر المتوقع</w:t>
      </w:r>
      <w:r>
        <w:t xml:space="preserve">: €15-25M</w:t>
      </w:r>
      <w:r/>
    </w:p>
    <w:p>
      <w:pPr>
        <w:pStyle w:val="717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الخسائر السمعية</w:t>
      </w:r>
      <w:r>
        <w:t xml:space="preserve">: لا رجعة فيها</w:t>
      </w:r>
      <w:r/>
    </w:p>
    <w:p>
      <w:pPr>
        <w:pStyle w:val="717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العقوبات التنظيمية</w:t>
      </w:r>
      <w:r>
        <w:t xml:space="preserve">: حتمية</w:t>
      </w:r>
      <w:bookmarkEnd w:id="54"/>
      <w:r/>
    </w:p>
    <w:p>
      <w:pPr>
        <w:pStyle w:val="726"/>
        <w:pBdr/>
        <w:spacing/>
        <w:ind/>
        <w:rPr/>
      </w:pPr>
      <w:r/>
      <w:bookmarkStart w:id="55" w:name="سيناريو-الإجراءات-الدنيا"/>
      <w:r>
        <w:t xml:space="preserve">سيناريو</w:t>
      </w:r>
      <w:r>
        <w:t xml:space="preserve"> </w:t>
      </w:r>
      <w:r>
        <w:t xml:space="preserve">“</w:t>
      </w:r>
      <w:r>
        <w:t xml:space="preserve">الإجراءات الدنيا</w:t>
      </w:r>
      <w:r>
        <w:t xml:space="preserve">”</w:t>
      </w:r>
      <w:r/>
    </w:p>
    <w:p>
      <w:pPr>
        <w:pStyle w:val="717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احتمالية الحادث</w:t>
      </w:r>
      <w:r>
        <w:t xml:space="preserve">: 45% خلال 12 شهر</w:t>
      </w:r>
      <w:r/>
    </w:p>
    <w:p>
      <w:pPr>
        <w:pStyle w:val="717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الضرر المتوقع</w:t>
      </w:r>
      <w:r>
        <w:t xml:space="preserve">: €5-10M</w:t>
      </w:r>
      <w:r/>
    </w:p>
    <w:p>
      <w:pPr>
        <w:pStyle w:val="717"/>
        <w:numPr>
          <w:ilvl w:val="0"/>
          <w:numId w:val="19"/>
        </w:numPr>
        <w:pBdr/>
        <w:spacing/>
        <w:ind/>
        <w:rPr/>
      </w:pPr>
      <w:r>
        <w:rPr>
          <w:b/>
          <w:bCs/>
        </w:rPr>
        <w:t xml:space="preserve">الخسائر التنافسية</w:t>
      </w:r>
      <w:r>
        <w:t xml:space="preserve">: كبيرة</w:t>
      </w:r>
      <w:bookmarkEnd w:id="55"/>
      <w:r/>
    </w:p>
    <w:p>
      <w:pPr>
        <w:pStyle w:val="726"/>
        <w:pBdr/>
        <w:spacing/>
        <w:ind/>
        <w:rPr/>
      </w:pPr>
      <w:r/>
      <w:bookmarkStart w:id="56" w:name="سيناريو-برنامج-الأمان-الشامل"/>
      <w:r>
        <w:t xml:space="preserve">سيناريو</w:t>
      </w:r>
      <w:r>
        <w:t xml:space="preserve"> </w:t>
      </w:r>
      <w:r>
        <w:t xml:space="preserve">“</w:t>
      </w:r>
      <w:r>
        <w:t xml:space="preserve">برنامج الأمان الشامل</w:t>
      </w:r>
      <w:r>
        <w:t xml:space="preserve">”</w:t>
      </w:r>
      <w:r/>
    </w:p>
    <w:p>
      <w:pPr>
        <w:pStyle w:val="717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احتمالية الحادث</w:t>
      </w:r>
      <w:r>
        <w:t xml:space="preserve">: 5% خلال 12 شهر</w:t>
      </w:r>
      <w:r/>
    </w:p>
    <w:p>
      <w:pPr>
        <w:pStyle w:val="717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الضرر المتوقع</w:t>
      </w:r>
      <w:r>
        <w:t xml:space="preserve">: €100K-500K</w:t>
      </w:r>
      <w:r/>
    </w:p>
    <w:p>
      <w:pPr>
        <w:pStyle w:val="717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المزايا التنافسية</w:t>
      </w:r>
      <w:r>
        <w:t xml:space="preserve">: جوهرية</w:t>
      </w:r>
      <w:bookmarkEnd w:id="56"/>
      <w:bookmarkEnd w:id="57"/>
      <w:r/>
    </w:p>
    <w:p>
      <w:pPr>
        <w:pStyle w:val="725"/>
        <w:pBdr/>
        <w:spacing/>
        <w:ind/>
        <w:rPr/>
      </w:pPr>
      <w:r/>
      <w:bookmarkStart w:id="62" w:name="القرارات-الموصى-بها-لمجلس-الإدارة"/>
      <w:r>
        <w:t xml:space="preserve">القرارات الموصى بها لمجلس الإدارة</w:t>
      </w:r>
      <w:r/>
    </w:p>
    <w:p>
      <w:pPr>
        <w:pStyle w:val="726"/>
        <w:pBdr/>
        <w:spacing/>
        <w:ind/>
        <w:rPr/>
      </w:pPr>
      <w:r/>
      <w:bookmarkStart w:id="58" w:name="X51505157fbdc1ae418704b6f905b3992ade916d"/>
      <w:r>
        <w:t xml:space="preserve">القرار 1: الموافقة على الميزانية الطارئة €95,000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الغرض</w:t>
      </w:r>
      <w:r>
        <w:t xml:space="preserve">: القضاء على التهديدات الحرجة خلال 30 يوم</w:t>
      </w:r>
      <w:r>
        <w:t xml:space="preserve"> </w:t>
      </w:r>
      <w:r>
        <w:rPr>
          <w:b/>
          <w:bCs/>
        </w:rPr>
        <w:t xml:space="preserve">النتيجة المتوقعة</w:t>
      </w:r>
      <w:r>
        <w:t xml:space="preserve">: تقليل المخاطر من</w:t>
      </w:r>
      <w:r>
        <w:t xml:space="preserve"> </w:t>
      </w:r>
      <w:r>
        <w:t xml:space="preserve">“</w:t>
      </w:r>
      <w:r>
        <w:t xml:space="preserve">حرجة</w:t>
      </w:r>
      <w:r>
        <w:t xml:space="preserve">”</w:t>
      </w:r>
      <w:r>
        <w:t xml:space="preserve"> </w:t>
      </w:r>
      <w:r>
        <w:t xml:space="preserve">إلى</w:t>
      </w:r>
      <w:r>
        <w:t xml:space="preserve"> </w:t>
      </w:r>
      <w:r>
        <w:t xml:space="preserve">“</w:t>
      </w:r>
      <w:r>
        <w:t xml:space="preserve">قابلة للإدارة</w:t>
      </w:r>
      <w:r>
        <w:t xml:space="preserve">”</w:t>
      </w:r>
      <w:bookmarkEnd w:id="58"/>
      <w:r/>
    </w:p>
    <w:p>
      <w:pPr>
        <w:pStyle w:val="726"/>
        <w:pBdr/>
        <w:spacing/>
        <w:ind/>
        <w:rPr/>
      </w:pPr>
      <w:r/>
      <w:bookmarkStart w:id="59" w:name="X735ca0a504963206de10a7f68f044347936e1a1"/>
      <w:r>
        <w:t xml:space="preserve">القرار 2: تعيين مسؤول تنفيذي للأمن السيبراني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المنصب</w:t>
      </w:r>
      <w:r>
        <w:t xml:space="preserve">: CISO (كبير مسؤولي أمن المعلومات) أو استشاري خارجي</w:t>
      </w:r>
      <w:r>
        <w:t xml:space="preserve"> </w:t>
      </w:r>
      <w:r>
        <w:rPr>
          <w:b/>
          <w:bCs/>
        </w:rPr>
        <w:t xml:space="preserve">الميزانية</w:t>
      </w:r>
      <w:r>
        <w:t xml:space="preserve">: €80,000-120,000/سنة</w:t>
      </w:r>
      <w:r>
        <w:t xml:space="preserve"> </w:t>
      </w:r>
      <w:r>
        <w:rPr>
          <w:b/>
          <w:bCs/>
        </w:rPr>
        <w:t xml:space="preserve">المسؤولية</w:t>
      </w:r>
      <w:r>
        <w:t xml:space="preserve">: تنسيق جميع مبادرات الأمان</w:t>
      </w:r>
      <w:bookmarkEnd w:id="59"/>
      <w:r/>
    </w:p>
    <w:p>
      <w:pPr>
        <w:pStyle w:val="726"/>
        <w:pBdr/>
        <w:spacing/>
        <w:ind/>
        <w:rPr/>
      </w:pPr>
      <w:r/>
      <w:bookmarkStart w:id="60" w:name="X3b46519f7285e5657cf99caf0e62ebc31af62fb"/>
      <w:r>
        <w:t xml:space="preserve">القرار 3: الموافقة على البرنامج الاستراتيجي للأمان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الميزانية</w:t>
      </w:r>
      <w:r>
        <w:t xml:space="preserve">: €320,000 على 12 شهر</w:t>
      </w:r>
      <w:r>
        <w:t xml:space="preserve"> </w:t>
      </w:r>
      <w:r>
        <w:rPr>
          <w:b/>
          <w:bCs/>
        </w:rPr>
        <w:t xml:space="preserve">الهدف</w:t>
      </w:r>
      <w:r>
        <w:t xml:space="preserve">: تحقيق مكانة رائدة في الأمان بالقطاع</w:t>
      </w:r>
      <w:r>
        <w:t xml:space="preserve"> </w:t>
      </w:r>
      <w:r>
        <w:rPr>
          <w:b/>
          <w:bCs/>
        </w:rPr>
        <w:t xml:space="preserve">العائد على الاستثمار</w:t>
      </w:r>
      <w:r>
        <w:t xml:space="preserve">: 2500% (منع أضرار €8M+)</w:t>
      </w:r>
      <w:bookmarkEnd w:id="60"/>
      <w:r/>
    </w:p>
    <w:p>
      <w:pPr>
        <w:pStyle w:val="726"/>
        <w:pBdr/>
        <w:spacing/>
        <w:ind/>
        <w:rPr/>
      </w:pPr>
      <w:r/>
      <w:bookmarkStart w:id="61" w:name="Xc0442cc59f7638cebe21de34e35fa1ac15a47f6"/>
      <w:r>
        <w:t xml:space="preserve">القرار 4: دمج الأمن السيبراني في استراتيجية الشركة</w: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الإجراء</w:t>
      </w:r>
      <w:r>
        <w:t xml:space="preserve">: إضافة الأمان كعنصر رئيسي في الاستراتيجية المؤسسية</w:t>
      </w:r>
      <w:r>
        <w:t xml:space="preserve"> </w:t>
      </w:r>
      <w:r>
        <w:rPr>
          <w:b/>
          <w:bCs/>
        </w:rPr>
        <w:t xml:space="preserve">الغرض</w:t>
      </w:r>
      <w:r>
        <w:t xml:space="preserve">: تحويل الأمان من</w:t>
      </w:r>
      <w:r>
        <w:t xml:space="preserve"> </w:t>
      </w:r>
      <w:r>
        <w:t xml:space="preserve">“</w:t>
      </w:r>
      <w:r>
        <w:t xml:space="preserve">مصروف</w:t>
      </w:r>
      <w:r>
        <w:t xml:space="preserve">”</w:t>
      </w:r>
      <w:r>
        <w:t xml:space="preserve"> </w:t>
      </w:r>
      <w:r>
        <w:t xml:space="preserve">إلى</w:t>
      </w:r>
      <w:r>
        <w:t xml:space="preserve"> </w:t>
      </w:r>
      <w:r>
        <w:t xml:space="preserve">“</w:t>
      </w:r>
      <w:r>
        <w:t xml:space="preserve">ميزة تنافسية</w:t>
      </w:r>
      <w:r>
        <w:t xml:space="preserve">”</w:t>
      </w:r>
      <w:bookmarkEnd w:id="61"/>
      <w:bookmarkEnd w:id="62"/>
      <w:r/>
    </w:p>
    <w:p>
      <w:pPr>
        <w:pStyle w:val="725"/>
        <w:pBdr/>
        <w:spacing/>
        <w:ind/>
        <w:rPr/>
      </w:pPr>
      <w:r/>
      <w:bookmarkStart w:id="66" w:name="الخطوات-التالية"/>
      <w:r>
        <w:t xml:space="preserve">الخطوات التالية</w:t>
      </w:r>
      <w:r/>
    </w:p>
    <w:p>
      <w:pPr>
        <w:pStyle w:val="726"/>
        <w:pBdr/>
        <w:spacing/>
        <w:ind/>
        <w:rPr/>
      </w:pPr>
      <w:r/>
      <w:bookmarkStart w:id="63" w:name="فوريا-اليوم"/>
      <w:r>
        <w:t xml:space="preserve">فورياً (اليوم)</w:t>
      </w:r>
      <w:r/>
    </w:p>
    <w:p>
      <w:pPr>
        <w:pStyle w:val="717"/>
        <w:numPr>
          <w:ilvl w:val="0"/>
          <w:numId w:val="21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الموافقة على الميزانية الطارئة</w:t>
      </w:r>
      <w:r>
        <w:t xml:space="preserve"> </w:t>
      </w:r>
      <w:r>
        <w:t xml:space="preserve">- قرار الرئيس التنفيذي</w:t>
      </w:r>
      <w:r/>
    </w:p>
    <w:p>
      <w:pPr>
        <w:pStyle w:val="717"/>
        <w:numPr>
          <w:ilvl w:val="0"/>
          <w:numId w:val="21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تشكيل فريق الأزمات</w:t>
      </w:r>
      <w:r>
        <w:t xml:space="preserve"> </w:t>
      </w:r>
      <w:r>
        <w:t xml:space="preserve">- تعيين المسؤوليات</w:t>
      </w:r>
      <w:r/>
    </w:p>
    <w:p>
      <w:pPr>
        <w:pStyle w:val="717"/>
        <w:numPr>
          <w:ilvl w:val="0"/>
          <w:numId w:val="21"/>
        </w:numPr>
        <w:pBdr/>
        <w:spacing/>
        <w:ind/>
        <w:rPr/>
      </w:pPr>
      <w:r>
        <w:t xml:space="preserve">✅</w:t>
      </w:r>
      <w:r>
        <w:t xml:space="preserve"> </w:t>
      </w:r>
      <w:r>
        <w:rPr>
          <w:b/>
          <w:bCs/>
        </w:rPr>
        <w:t xml:space="preserve">بدء معالجة الثغرات الحرجة</w:t>
      </w:r>
      <w:r>
        <w:t xml:space="preserve"> </w:t>
      </w:r>
      <w:r>
        <w:t xml:space="preserve">- الفريق التقني</w:t>
      </w:r>
      <w:bookmarkEnd w:id="63"/>
      <w:r/>
    </w:p>
    <w:p>
      <w:pPr>
        <w:pStyle w:val="726"/>
        <w:pBdr/>
        <w:spacing/>
        <w:ind/>
        <w:rPr/>
      </w:pPr>
      <w:r/>
      <w:bookmarkStart w:id="64" w:name="هذا-الأسبوع"/>
      <w:r>
        <w:t xml:space="preserve">هذا الأسبوع</w:t>
      </w:r>
      <w:r/>
    </w:p>
    <w:p>
      <w:pPr>
        <w:pStyle w:val="717"/>
        <w:numPr>
          <w:ilvl w:val="0"/>
          <w:numId w:val="22"/>
        </w:numPr>
        <w:pBdr/>
        <w:spacing/>
        <w:ind/>
        <w:rPr/>
      </w:pPr>
      <w:r>
        <w:t xml:space="preserve">📋</w:t>
      </w:r>
      <w:r>
        <w:t xml:space="preserve"> </w:t>
      </w:r>
      <w:r>
        <w:rPr>
          <w:b/>
          <w:bCs/>
        </w:rPr>
        <w:t xml:space="preserve">التعاقد مع مزود SOC</w:t>
      </w:r>
      <w:r>
        <w:t xml:space="preserve"> </w:t>
      </w:r>
      <w:r>
        <w:t xml:space="preserve">- ضمان مراقبة 24/7</w:t>
      </w:r>
      <w:r/>
    </w:p>
    <w:p>
      <w:pPr>
        <w:pStyle w:val="717"/>
        <w:numPr>
          <w:ilvl w:val="0"/>
          <w:numId w:val="22"/>
        </w:numPr>
        <w:pBdr/>
        <w:spacing/>
        <w:ind/>
        <w:rPr/>
      </w:pPr>
      <w:r>
        <w:t xml:space="preserve">🔍</w:t>
      </w:r>
      <w:r>
        <w:t xml:space="preserve"> </w:t>
      </w:r>
      <w:r>
        <w:rPr>
          <w:b/>
          <w:bCs/>
        </w:rPr>
        <w:t xml:space="preserve">إطلاق تدقيق أمني شامل</w:t>
      </w:r>
      <w:r>
        <w:t xml:space="preserve"> </w:t>
      </w:r>
      <w:r>
        <w:t xml:space="preserve">- تحديد جميع الثغرات</w:t>
      </w:r>
      <w:r/>
    </w:p>
    <w:p>
      <w:pPr>
        <w:pStyle w:val="717"/>
        <w:numPr>
          <w:ilvl w:val="0"/>
          <w:numId w:val="22"/>
        </w:numPr>
        <w:pBdr/>
        <w:spacing/>
        <w:ind/>
        <w:rPr/>
      </w:pPr>
      <w:r>
        <w:t xml:space="preserve">📢</w:t>
      </w:r>
      <w:r>
        <w:t xml:space="preserve"> </w:t>
      </w:r>
      <w:r>
        <w:rPr>
          <w:b/>
          <w:bCs/>
        </w:rPr>
        <w:t xml:space="preserve">إعداد استراتيجية التواصل</w:t>
      </w:r>
      <w:r>
        <w:t xml:space="preserve"> </w:t>
      </w:r>
      <w:r>
        <w:t xml:space="preserve">- تخطيط الاستجابة للحوادث</w:t>
      </w:r>
      <w:bookmarkEnd w:id="64"/>
      <w:r/>
    </w:p>
    <w:p>
      <w:pPr>
        <w:pStyle w:val="726"/>
        <w:pBdr/>
        <w:spacing/>
        <w:ind/>
        <w:rPr/>
      </w:pPr>
      <w:r/>
      <w:bookmarkStart w:id="65" w:name="خلال-شهر-واحد"/>
      <w:r>
        <w:t xml:space="preserve">خلال شهر واحد</w:t>
      </w:r>
      <w:r/>
    </w:p>
    <w:p>
      <w:pPr>
        <w:pStyle w:val="717"/>
        <w:numPr>
          <w:ilvl w:val="0"/>
          <w:numId w:val="23"/>
        </w:numPr>
        <w:pBdr/>
        <w:spacing/>
        <w:ind/>
        <w:rPr/>
      </w:pPr>
      <w:r>
        <w:t xml:space="preserve">🎯</w:t>
      </w:r>
      <w:r>
        <w:t xml:space="preserve"> </w:t>
      </w:r>
      <w:r>
        <w:rPr>
          <w:b/>
          <w:bCs/>
        </w:rPr>
        <w:t xml:space="preserve">تنفيذ جميع الإجراءات الطارئة</w:t>
      </w:r>
      <w:r>
        <w:t xml:space="preserve"> </w:t>
      </w:r>
      <w:r>
        <w:t xml:space="preserve">- إغلاق الثغرات الحرجة</w:t>
      </w:r>
      <w:r/>
    </w:p>
    <w:p>
      <w:pPr>
        <w:pStyle w:val="717"/>
        <w:numPr>
          <w:ilvl w:val="0"/>
          <w:numId w:val="23"/>
        </w:numPr>
        <w:pBdr/>
        <w:spacing/>
        <w:ind/>
        <w:rPr/>
      </w:pPr>
      <w:r>
        <w:t xml:space="preserve">📊</w:t>
      </w:r>
      <w:r>
        <w:t xml:space="preserve"> </w:t>
      </w:r>
      <w:r>
        <w:rPr>
          <w:b/>
          <w:bCs/>
        </w:rPr>
        <w:t xml:space="preserve">تقييم الفعالية</w:t>
      </w:r>
      <w:r>
        <w:t xml:space="preserve"> </w:t>
      </w:r>
      <w:r>
        <w:t xml:space="preserve">- قياس تقليل المخاطر</w:t>
      </w:r>
      <w:r/>
    </w:p>
    <w:p>
      <w:pPr>
        <w:pStyle w:val="717"/>
        <w:numPr>
          <w:ilvl w:val="0"/>
          <w:numId w:val="23"/>
        </w:numPr>
        <w:pBdr/>
        <w:spacing/>
        <w:ind/>
        <w:rPr/>
      </w:pPr>
      <w:r>
        <w:t xml:space="preserve">🚀</w:t>
      </w:r>
      <w:r>
        <w:t xml:space="preserve"> </w:t>
      </w:r>
      <w:r>
        <w:rPr>
          <w:b/>
          <w:bCs/>
        </w:rPr>
        <w:t xml:space="preserve">إطلاق البرنامج الاستراتيجي</w:t>
      </w:r>
      <w:r>
        <w:t xml:space="preserve"> </w:t>
      </w:r>
      <w:r>
        <w:t xml:space="preserve">- تطوير الأمان طويل المدى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716"/>
        <w:pBdr/>
        <w:spacing/>
        <w:ind/>
        <w:rPr/>
      </w:pPr>
      <w:r>
        <w:rPr>
          <w:b/>
          <w:bCs/>
        </w:rPr>
        <w:t xml:space="preserve">الخلاصة</w:t>
      </w:r>
      <w:r>
        <w:t xml:space="preserve">: الاستثمارات في الأمن السيبراني اليوم ليست مصروفات، بل تأمين ضد الخسائر الكارثية غداً. مع النهج الصحيح، يصبح الأمان ميزة تنافسية ومصدر فرص تجارية جديدة.</w:t>
      </w:r>
      <w:r/>
    </w:p>
    <w:p>
      <w:pPr>
        <w:pStyle w:val="715"/>
        <w:pBdr/>
        <w:spacing/>
        <w:ind/>
        <w:rPr/>
      </w:pPr>
      <w:r>
        <w:rPr>
          <w:i/>
          <w:iCs/>
        </w:rPr>
        <w:t xml:space="preserve">أُعد وفقاً لأفضل ممارسات إدارة المخاطر المؤسسية والمعايير الدولية للأمن السيبراني.</w:t>
      </w:r>
      <w:bookmarkEnd w:id="65"/>
      <w:bookmarkEnd w:id="66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37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7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7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7"/>
    <w:link w:val="7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7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7"/>
    <w:link w:val="7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7"/>
    <w:link w:val="7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7"/>
    <w:link w:val="7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7"/>
    <w:link w:val="7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7"/>
    <w:link w:val="7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7"/>
    <w:link w:val="7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4"/>
    <w:next w:val="71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4"/>
    <w:next w:val="71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7"/>
    <w:link w:val="176"/>
    <w:uiPriority w:val="99"/>
    <w:pPr>
      <w:pBdr/>
      <w:spacing/>
      <w:ind/>
    </w:pPr>
  </w:style>
  <w:style w:type="paragraph" w:styleId="178">
    <w:name w:val="Footer"/>
    <w:basedOn w:val="71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7"/>
    <w:link w:val="178"/>
    <w:uiPriority w:val="99"/>
    <w:pPr>
      <w:pBdr/>
      <w:spacing/>
      <w:ind/>
    </w:pPr>
  </w:style>
  <w:style w:type="character" w:styleId="182">
    <w:name w:val="Footnote Text Char"/>
    <w:basedOn w:val="737"/>
    <w:link w:val="73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1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4"/>
    <w:next w:val="714"/>
    <w:uiPriority w:val="39"/>
    <w:unhideWhenUsed/>
    <w:pPr>
      <w:pBdr/>
      <w:spacing w:after="100"/>
      <w:ind/>
    </w:pPr>
  </w:style>
  <w:style w:type="paragraph" w:styleId="190">
    <w:name w:val="toc 2"/>
    <w:basedOn w:val="714"/>
    <w:next w:val="714"/>
    <w:uiPriority w:val="39"/>
    <w:unhideWhenUsed/>
    <w:pPr>
      <w:pBdr/>
      <w:spacing w:after="100"/>
      <w:ind w:left="220"/>
    </w:pPr>
  </w:style>
  <w:style w:type="paragraph" w:styleId="191">
    <w:name w:val="toc 3"/>
    <w:basedOn w:val="714"/>
    <w:next w:val="714"/>
    <w:uiPriority w:val="39"/>
    <w:unhideWhenUsed/>
    <w:pPr>
      <w:pBdr/>
      <w:spacing w:after="100"/>
      <w:ind w:left="440"/>
    </w:pPr>
  </w:style>
  <w:style w:type="paragraph" w:styleId="192">
    <w:name w:val="toc 4"/>
    <w:basedOn w:val="714"/>
    <w:next w:val="714"/>
    <w:uiPriority w:val="39"/>
    <w:unhideWhenUsed/>
    <w:pPr>
      <w:pBdr/>
      <w:spacing w:after="100"/>
      <w:ind w:left="660"/>
    </w:pPr>
  </w:style>
  <w:style w:type="paragraph" w:styleId="193">
    <w:name w:val="toc 5"/>
    <w:basedOn w:val="714"/>
    <w:next w:val="714"/>
    <w:uiPriority w:val="39"/>
    <w:unhideWhenUsed/>
    <w:pPr>
      <w:pBdr/>
      <w:spacing w:after="100"/>
      <w:ind w:left="880"/>
    </w:pPr>
  </w:style>
  <w:style w:type="paragraph" w:styleId="194">
    <w:name w:val="toc 6"/>
    <w:basedOn w:val="714"/>
    <w:next w:val="714"/>
    <w:uiPriority w:val="39"/>
    <w:unhideWhenUsed/>
    <w:pPr>
      <w:pBdr/>
      <w:spacing w:after="100"/>
      <w:ind w:left="1100"/>
    </w:pPr>
  </w:style>
  <w:style w:type="paragraph" w:styleId="195">
    <w:name w:val="toc 7"/>
    <w:basedOn w:val="714"/>
    <w:next w:val="714"/>
    <w:uiPriority w:val="39"/>
    <w:unhideWhenUsed/>
    <w:pPr>
      <w:pBdr/>
      <w:spacing w:after="100"/>
      <w:ind w:left="1320"/>
    </w:pPr>
  </w:style>
  <w:style w:type="paragraph" w:styleId="196">
    <w:name w:val="toc 8"/>
    <w:basedOn w:val="714"/>
    <w:next w:val="714"/>
    <w:uiPriority w:val="39"/>
    <w:unhideWhenUsed/>
    <w:pPr>
      <w:pBdr/>
      <w:spacing w:after="100"/>
      <w:ind w:left="1540"/>
    </w:pPr>
  </w:style>
  <w:style w:type="paragraph" w:styleId="197">
    <w:name w:val="toc 9"/>
    <w:basedOn w:val="714"/>
    <w:next w:val="71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4"/>
    <w:next w:val="714"/>
    <w:uiPriority w:val="99"/>
    <w:unhideWhenUsed/>
    <w:pPr>
      <w:pBdr/>
      <w:spacing w:after="0" w:afterAutospacing="0"/>
      <w:ind/>
    </w:pPr>
  </w:style>
  <w:style w:type="paragraph" w:styleId="714" w:default="1">
    <w:name w:val="Normal"/>
    <w:qFormat/>
    <w:pPr>
      <w:pBdr/>
      <w:spacing/>
      <w:ind/>
    </w:pPr>
  </w:style>
  <w:style w:type="paragraph" w:styleId="715">
    <w:name w:val="Body Text"/>
    <w:basedOn w:val="714"/>
    <w:link w:val="746"/>
    <w:qFormat/>
    <w:pPr>
      <w:pBdr/>
      <w:spacing w:after="180" w:before="180"/>
      <w:ind/>
    </w:pPr>
  </w:style>
  <w:style w:type="paragraph" w:styleId="716" w:customStyle="1">
    <w:name w:val="First Paragraph"/>
    <w:basedOn w:val="715"/>
    <w:next w:val="715"/>
    <w:qFormat/>
    <w:pPr>
      <w:pBdr/>
      <w:spacing/>
      <w:ind/>
    </w:pPr>
  </w:style>
  <w:style w:type="paragraph" w:styleId="717" w:customStyle="1">
    <w:name w:val="Compact"/>
    <w:basedOn w:val="715"/>
    <w:qFormat/>
    <w:pPr>
      <w:pBdr/>
      <w:spacing w:after="36" w:before="36"/>
      <w:ind/>
    </w:pPr>
  </w:style>
  <w:style w:type="paragraph" w:styleId="718">
    <w:name w:val="Title"/>
    <w:basedOn w:val="714"/>
    <w:next w:val="715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19">
    <w:name w:val="Subtitle"/>
    <w:basedOn w:val="718"/>
    <w:next w:val="715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20" w:customStyle="1">
    <w:name w:val="Author"/>
    <w:next w:val="715"/>
    <w:qFormat/>
    <w:pPr>
      <w:keepNext w:val="true"/>
      <w:keepLines w:val="true"/>
      <w:pBdr/>
      <w:spacing/>
      <w:ind/>
      <w:jc w:val="center"/>
    </w:pPr>
  </w:style>
  <w:style w:type="paragraph" w:styleId="721">
    <w:name w:val="Date"/>
    <w:next w:val="715"/>
    <w:qFormat/>
    <w:pPr>
      <w:keepNext w:val="true"/>
      <w:keepLines w:val="true"/>
      <w:pBdr/>
      <w:spacing/>
      <w:ind/>
      <w:jc w:val="center"/>
    </w:pPr>
  </w:style>
  <w:style w:type="paragraph" w:styleId="722" w:customStyle="1">
    <w:name w:val="Abstract Title"/>
    <w:basedOn w:val="714"/>
    <w:next w:val="723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23" w:customStyle="1">
    <w:name w:val="Abstract"/>
    <w:basedOn w:val="714"/>
    <w:next w:val="71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24">
    <w:name w:val="Bibliography"/>
    <w:basedOn w:val="714"/>
    <w:next w:val="724"/>
    <w:qFormat/>
    <w:pPr>
      <w:pBdr/>
      <w:spacing/>
      <w:ind/>
    </w:pPr>
  </w:style>
  <w:style w:type="paragraph" w:styleId="725">
    <w:name w:val="Heading 1"/>
    <w:basedOn w:val="714"/>
    <w:next w:val="7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26">
    <w:name w:val="Heading 2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27">
    <w:name w:val="Heading 3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28">
    <w:name w:val="Heading 4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29">
    <w:name w:val="Heading 5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30">
    <w:name w:val="Heading 6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1">
    <w:name w:val="Heading 7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2">
    <w:name w:val="Heading 8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3">
    <w:name w:val="Heading 9"/>
    <w:basedOn w:val="714"/>
    <w:next w:val="715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34">
    <w:name w:val="Block Text"/>
    <w:basedOn w:val="715"/>
    <w:next w:val="715"/>
    <w:uiPriority w:val="9"/>
    <w:unhideWhenUsed/>
    <w:qFormat/>
    <w:pPr>
      <w:pBdr/>
      <w:spacing w:after="100" w:before="100"/>
      <w:ind w:right="480" w:firstLine="0" w:left="480"/>
    </w:pPr>
  </w:style>
  <w:style w:type="paragraph" w:styleId="735">
    <w:name w:val="footnote text"/>
    <w:basedOn w:val="714"/>
    <w:next w:val="735"/>
    <w:uiPriority w:val="9"/>
    <w:unhideWhenUsed/>
    <w:qFormat/>
    <w:pPr>
      <w:pBdr/>
      <w:spacing/>
      <w:ind/>
    </w:pPr>
  </w:style>
  <w:style w:type="paragraph" w:styleId="736">
    <w:name w:val="Footnote Block Text"/>
    <w:uiPriority w:val="9"/>
    <w:unhideWhenUsed/>
    <w:qFormat/>
    <w:pPr>
      <w:pBdr/>
      <w:spacing w:after="100" w:before="100"/>
      <w:ind w:right="480" w:firstLine="0" w:left="480"/>
    </w:pPr>
  </w:style>
  <w:style w:type="character" w:styleId="737" w:default="1">
    <w:name w:val="Default Paragraph Font"/>
    <w:semiHidden/>
    <w:unhideWhenUsed/>
    <w:pPr>
      <w:pBdr/>
      <w:spacing/>
      <w:ind/>
    </w:pPr>
  </w:style>
  <w:style w:type="table" w:styleId="73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9" w:customStyle="1">
    <w:name w:val="Definition Term"/>
    <w:basedOn w:val="714"/>
    <w:next w:val="740"/>
    <w:pPr>
      <w:keepNext w:val="true"/>
      <w:keepLines w:val="true"/>
      <w:pBdr/>
      <w:spacing w:after="0"/>
      <w:ind/>
    </w:pPr>
    <w:rPr>
      <w:b/>
    </w:rPr>
  </w:style>
  <w:style w:type="paragraph" w:styleId="740" w:customStyle="1">
    <w:name w:val="Definition"/>
    <w:basedOn w:val="714"/>
    <w:pPr>
      <w:pBdr/>
      <w:spacing/>
      <w:ind/>
    </w:pPr>
  </w:style>
  <w:style w:type="paragraph" w:styleId="741">
    <w:name w:val="Caption"/>
    <w:basedOn w:val="714"/>
    <w:link w:val="746"/>
    <w:pPr>
      <w:pBdr/>
      <w:spacing w:after="120" w:before="0"/>
      <w:ind/>
    </w:pPr>
    <w:rPr>
      <w:i/>
    </w:rPr>
  </w:style>
  <w:style w:type="paragraph" w:styleId="742" w:customStyle="1">
    <w:name w:val="Table Caption"/>
    <w:basedOn w:val="741"/>
    <w:pPr>
      <w:keepNext w:val="true"/>
      <w:pBdr/>
      <w:spacing/>
      <w:ind/>
    </w:pPr>
  </w:style>
  <w:style w:type="paragraph" w:styleId="743" w:customStyle="1">
    <w:name w:val="Image Caption"/>
    <w:basedOn w:val="741"/>
    <w:pPr>
      <w:pBdr/>
      <w:spacing/>
      <w:ind/>
    </w:pPr>
  </w:style>
  <w:style w:type="paragraph" w:styleId="744" w:customStyle="1">
    <w:name w:val="Figure"/>
    <w:basedOn w:val="714"/>
    <w:pPr>
      <w:pBdr/>
      <w:spacing/>
      <w:ind/>
    </w:pPr>
  </w:style>
  <w:style w:type="paragraph" w:styleId="745" w:customStyle="1">
    <w:name w:val="Captioned Figure"/>
    <w:basedOn w:val="744"/>
    <w:pPr>
      <w:keepNext w:val="true"/>
      <w:pBdr/>
      <w:spacing/>
      <w:ind/>
    </w:pPr>
  </w:style>
  <w:style w:type="character" w:styleId="746" w:customStyle="1">
    <w:name w:val="Body Text Char"/>
    <w:basedOn w:val="737"/>
    <w:link w:val="715"/>
    <w:pPr>
      <w:pBdr/>
      <w:spacing/>
      <w:ind/>
    </w:pPr>
  </w:style>
  <w:style w:type="character" w:styleId="747" w:customStyle="1">
    <w:name w:val="Verbatim Char"/>
    <w:basedOn w:val="746"/>
    <w:pPr>
      <w:pBdr/>
      <w:spacing/>
      <w:ind/>
    </w:pPr>
    <w:rPr>
      <w:rFonts w:ascii="Consolas" w:hAnsi="Consolas"/>
      <w:sz w:val="22"/>
    </w:rPr>
  </w:style>
  <w:style w:type="character" w:styleId="748" w:customStyle="1">
    <w:name w:val="Section Number"/>
    <w:basedOn w:val="746"/>
    <w:pPr>
      <w:pBdr/>
      <w:spacing/>
      <w:ind/>
    </w:pPr>
  </w:style>
  <w:style w:type="character" w:styleId="749">
    <w:name w:val="footnote reference"/>
    <w:basedOn w:val="746"/>
    <w:pPr>
      <w:pBdr/>
      <w:spacing/>
      <w:ind/>
    </w:pPr>
    <w:rPr>
      <w:vertAlign w:val="superscript"/>
    </w:rPr>
  </w:style>
  <w:style w:type="character" w:styleId="750">
    <w:name w:val="Hyperlink"/>
    <w:basedOn w:val="746"/>
    <w:pPr>
      <w:pBdr/>
      <w:spacing/>
      <w:ind/>
    </w:pPr>
    <w:rPr>
      <w:color w:val="4f81bd" w:themeColor="accent1"/>
    </w:rPr>
  </w:style>
  <w:style w:type="paragraph" w:styleId="751">
    <w:name w:val="TOC Heading"/>
    <w:basedOn w:val="725"/>
    <w:next w:val="71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52" w:customStyle="1">
    <w:name w:val="Source Code"/>
    <w:basedOn w:val="714"/>
    <w:link w:val="747"/>
    <w:pPr>
      <w:pBdr/>
      <w:spacing/>
      <w:ind/>
    </w:pPr>
  </w:style>
  <w:style w:type="character" w:styleId="753" w:customStyle="1">
    <w:name w:val="KeywordTok"/>
    <w:basedOn w:val="747"/>
    <w:pPr>
      <w:pBdr/>
      <w:spacing/>
      <w:ind/>
    </w:pPr>
    <w:rPr>
      <w:b/>
      <w:color w:val="007020"/>
    </w:rPr>
  </w:style>
  <w:style w:type="character" w:styleId="754" w:customStyle="1">
    <w:name w:val="DataTypeTok"/>
    <w:basedOn w:val="747"/>
    <w:pPr>
      <w:pBdr/>
      <w:spacing/>
      <w:ind/>
    </w:pPr>
    <w:rPr>
      <w:color w:val="902000"/>
    </w:rPr>
  </w:style>
  <w:style w:type="character" w:styleId="755" w:customStyle="1">
    <w:name w:val="DecValTok"/>
    <w:basedOn w:val="747"/>
    <w:pPr>
      <w:pBdr/>
      <w:spacing/>
      <w:ind/>
    </w:pPr>
    <w:rPr>
      <w:color w:val="40a070"/>
    </w:rPr>
  </w:style>
  <w:style w:type="character" w:styleId="756" w:customStyle="1">
    <w:name w:val="BaseNTok"/>
    <w:basedOn w:val="747"/>
    <w:pPr>
      <w:pBdr/>
      <w:spacing/>
      <w:ind/>
    </w:pPr>
    <w:rPr>
      <w:color w:val="40a070"/>
    </w:rPr>
  </w:style>
  <w:style w:type="character" w:styleId="757" w:customStyle="1">
    <w:name w:val="FloatTok"/>
    <w:basedOn w:val="747"/>
    <w:pPr>
      <w:pBdr/>
      <w:spacing/>
      <w:ind/>
    </w:pPr>
    <w:rPr>
      <w:color w:val="40a070"/>
    </w:rPr>
  </w:style>
  <w:style w:type="character" w:styleId="758" w:customStyle="1">
    <w:name w:val="ConstantTok"/>
    <w:basedOn w:val="747"/>
    <w:pPr>
      <w:pBdr/>
      <w:spacing/>
      <w:ind/>
    </w:pPr>
    <w:rPr>
      <w:color w:val="880000"/>
    </w:rPr>
  </w:style>
  <w:style w:type="character" w:styleId="759" w:customStyle="1">
    <w:name w:val="CharTok"/>
    <w:basedOn w:val="747"/>
    <w:pPr>
      <w:pBdr/>
      <w:spacing/>
      <w:ind/>
    </w:pPr>
    <w:rPr>
      <w:color w:val="4070a0"/>
    </w:rPr>
  </w:style>
  <w:style w:type="character" w:styleId="760" w:customStyle="1">
    <w:name w:val="SpecialCharTok"/>
    <w:basedOn w:val="747"/>
    <w:pPr>
      <w:pBdr/>
      <w:spacing/>
      <w:ind/>
    </w:pPr>
    <w:rPr>
      <w:color w:val="4070a0"/>
    </w:rPr>
  </w:style>
  <w:style w:type="character" w:styleId="761" w:customStyle="1">
    <w:name w:val="StringTok"/>
    <w:basedOn w:val="747"/>
    <w:pPr>
      <w:pBdr/>
      <w:spacing/>
      <w:ind/>
    </w:pPr>
    <w:rPr>
      <w:color w:val="4070a0"/>
    </w:rPr>
  </w:style>
  <w:style w:type="character" w:styleId="762" w:customStyle="1">
    <w:name w:val="VerbatimStringTok"/>
    <w:basedOn w:val="747"/>
    <w:pPr>
      <w:pBdr/>
      <w:spacing/>
      <w:ind/>
    </w:pPr>
    <w:rPr>
      <w:color w:val="4070a0"/>
    </w:rPr>
  </w:style>
  <w:style w:type="character" w:styleId="763" w:customStyle="1">
    <w:name w:val="SpecialStringTok"/>
    <w:basedOn w:val="747"/>
    <w:pPr>
      <w:pBdr/>
      <w:spacing/>
      <w:ind/>
    </w:pPr>
    <w:rPr>
      <w:color w:val="bb6688"/>
    </w:rPr>
  </w:style>
  <w:style w:type="character" w:styleId="764" w:customStyle="1">
    <w:name w:val="ImportTok"/>
    <w:basedOn w:val="747"/>
    <w:pPr>
      <w:pBdr/>
      <w:spacing/>
      <w:ind/>
    </w:pPr>
    <w:rPr>
      <w:b/>
      <w:color w:val="008000"/>
    </w:rPr>
  </w:style>
  <w:style w:type="character" w:styleId="765" w:customStyle="1">
    <w:name w:val="CommentTok"/>
    <w:basedOn w:val="747"/>
    <w:pPr>
      <w:pBdr/>
      <w:spacing/>
      <w:ind/>
    </w:pPr>
    <w:rPr>
      <w:i/>
      <w:color w:val="60a0b0"/>
    </w:rPr>
  </w:style>
  <w:style w:type="character" w:styleId="766" w:customStyle="1">
    <w:name w:val="DocumentationTok"/>
    <w:basedOn w:val="747"/>
    <w:pPr>
      <w:pBdr/>
      <w:spacing/>
      <w:ind/>
    </w:pPr>
    <w:rPr>
      <w:i/>
      <w:color w:val="ba2121"/>
    </w:rPr>
  </w:style>
  <w:style w:type="character" w:styleId="767" w:customStyle="1">
    <w:name w:val="AnnotationTok"/>
    <w:basedOn w:val="747"/>
    <w:pPr>
      <w:pBdr/>
      <w:spacing/>
      <w:ind/>
    </w:pPr>
    <w:rPr>
      <w:b/>
      <w:i/>
      <w:color w:val="60a0b0"/>
    </w:rPr>
  </w:style>
  <w:style w:type="character" w:styleId="768" w:customStyle="1">
    <w:name w:val="CommentVarTok"/>
    <w:basedOn w:val="747"/>
    <w:pPr>
      <w:pBdr/>
      <w:spacing/>
      <w:ind/>
    </w:pPr>
    <w:rPr>
      <w:b/>
      <w:i/>
      <w:color w:val="60a0b0"/>
    </w:rPr>
  </w:style>
  <w:style w:type="character" w:styleId="769" w:customStyle="1">
    <w:name w:val="OtherTok"/>
    <w:basedOn w:val="747"/>
    <w:pPr>
      <w:pBdr/>
      <w:spacing/>
      <w:ind/>
    </w:pPr>
    <w:rPr>
      <w:color w:val="007020"/>
    </w:rPr>
  </w:style>
  <w:style w:type="character" w:styleId="770" w:customStyle="1">
    <w:name w:val="FunctionTok"/>
    <w:basedOn w:val="747"/>
    <w:pPr>
      <w:pBdr/>
      <w:spacing/>
      <w:ind/>
    </w:pPr>
    <w:rPr>
      <w:color w:val="06287e"/>
    </w:rPr>
  </w:style>
  <w:style w:type="character" w:styleId="771" w:customStyle="1">
    <w:name w:val="VariableTok"/>
    <w:basedOn w:val="747"/>
    <w:pPr>
      <w:pBdr/>
      <w:spacing/>
      <w:ind/>
    </w:pPr>
    <w:rPr>
      <w:color w:val="19177c"/>
    </w:rPr>
  </w:style>
  <w:style w:type="character" w:styleId="772" w:customStyle="1">
    <w:name w:val="ControlFlowTok"/>
    <w:basedOn w:val="747"/>
    <w:pPr>
      <w:pBdr/>
      <w:spacing/>
      <w:ind/>
    </w:pPr>
    <w:rPr>
      <w:b/>
      <w:color w:val="007020"/>
    </w:rPr>
  </w:style>
  <w:style w:type="character" w:styleId="773" w:customStyle="1">
    <w:name w:val="OperatorTok"/>
    <w:basedOn w:val="747"/>
    <w:pPr>
      <w:pBdr/>
      <w:spacing/>
      <w:ind/>
    </w:pPr>
    <w:rPr>
      <w:color w:val="666666"/>
    </w:rPr>
  </w:style>
  <w:style w:type="character" w:styleId="774" w:customStyle="1">
    <w:name w:val="BuiltInTok"/>
    <w:basedOn w:val="747"/>
    <w:pPr>
      <w:pBdr/>
      <w:spacing/>
      <w:ind/>
    </w:pPr>
    <w:rPr>
      <w:color w:val="008000"/>
    </w:rPr>
  </w:style>
  <w:style w:type="character" w:styleId="775" w:customStyle="1">
    <w:name w:val="ExtensionTok"/>
    <w:basedOn w:val="747"/>
    <w:pPr>
      <w:pBdr/>
      <w:spacing/>
      <w:ind/>
    </w:pPr>
  </w:style>
  <w:style w:type="character" w:styleId="776" w:customStyle="1">
    <w:name w:val="PreprocessorTok"/>
    <w:basedOn w:val="747"/>
    <w:pPr>
      <w:pBdr/>
      <w:spacing/>
      <w:ind/>
    </w:pPr>
    <w:rPr>
      <w:color w:val="bc7a00"/>
    </w:rPr>
  </w:style>
  <w:style w:type="character" w:styleId="777" w:customStyle="1">
    <w:name w:val="AttributeTok"/>
    <w:basedOn w:val="747"/>
    <w:pPr>
      <w:pBdr/>
      <w:spacing/>
      <w:ind/>
    </w:pPr>
    <w:rPr>
      <w:color w:val="7d9029"/>
    </w:rPr>
  </w:style>
  <w:style w:type="character" w:styleId="778" w:customStyle="1">
    <w:name w:val="RegionMarkerTok"/>
    <w:basedOn w:val="747"/>
    <w:pPr>
      <w:pBdr/>
      <w:spacing/>
      <w:ind/>
    </w:pPr>
  </w:style>
  <w:style w:type="character" w:styleId="779" w:customStyle="1">
    <w:name w:val="InformationTok"/>
    <w:basedOn w:val="747"/>
    <w:pPr>
      <w:pBdr/>
      <w:spacing/>
      <w:ind/>
    </w:pPr>
    <w:rPr>
      <w:b/>
      <w:i/>
      <w:color w:val="60a0b0"/>
    </w:rPr>
  </w:style>
  <w:style w:type="character" w:styleId="780" w:customStyle="1">
    <w:name w:val="WarningTok"/>
    <w:basedOn w:val="747"/>
    <w:pPr>
      <w:pBdr/>
      <w:spacing/>
      <w:ind/>
    </w:pPr>
    <w:rPr>
      <w:b/>
      <w:i/>
      <w:color w:val="60a0b0"/>
    </w:rPr>
  </w:style>
  <w:style w:type="character" w:styleId="781" w:customStyle="1">
    <w:name w:val="AlertTok"/>
    <w:basedOn w:val="747"/>
    <w:pPr>
      <w:pBdr/>
      <w:spacing/>
      <w:ind/>
    </w:pPr>
    <w:rPr>
      <w:b/>
      <w:color w:val="ff0000"/>
    </w:rPr>
  </w:style>
  <w:style w:type="character" w:styleId="782" w:customStyle="1">
    <w:name w:val="ErrorTok"/>
    <w:basedOn w:val="747"/>
    <w:pPr>
      <w:pBdr/>
      <w:spacing/>
      <w:ind/>
    </w:pPr>
    <w:rPr>
      <w:b/>
      <w:color w:val="ff0000"/>
    </w:rPr>
  </w:style>
  <w:style w:type="character" w:styleId="783" w:customStyle="1">
    <w:name w:val="NormalTok"/>
    <w:basedOn w:val="74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الأمن السيبراني للإدارة التنفيذية: example.com</dc:title>
  <dc:creator>كبير مسؤولي أمن المعلومات</dc:creator>
  <cp:keywords/>
  <cp:revision>1</cp:revision>
  <dcterms:created xsi:type="dcterms:W3CDTF">2025-12-18T10:14:21Z</dcterms:created>
  <dcterms:modified xsi:type="dcterms:W3CDTF">2025-12-18T11:51:20Z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2025-12-17</vt:lpwstr>
  </property>
</Properties>
</file>