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18"/>
        <w:pBdr/>
        <w:spacing/>
        <w:ind/>
        <w:rPr/>
      </w:pPr>
      <w:r>
        <w:rPr>
          <w:lang w:val="ru-RU" w:bidi="ru-RU"/>
        </w:rPr>
      </w: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кибербезопасности</w:t>
      </w:r>
      <w:r>
        <w:t xml:space="preserve"> </w:t>
      </w:r>
      <w:r>
        <w:t xml:space="preserve">для</w:t>
      </w:r>
      <w:r>
        <w:t xml:space="preserve"> </w:t>
      </w:r>
      <w:r>
        <w:t xml:space="preserve">руководства:</w:t>
      </w:r>
      <w:r>
        <w:t xml:space="preserve"> </w:t>
      </w:r>
      <w:r>
        <w:t xml:space="preserve">example.com</w:t>
      </w:r>
      <w:r/>
    </w:p>
    <w:p>
      <w:pPr>
        <w:pStyle w:val="720"/>
        <w:pBdr/>
        <w:spacing/>
        <w:ind/>
        <w:rPr/>
      </w:pPr>
      <w:r>
        <w:t xml:space="preserve">Директор</w:t>
      </w:r>
      <w:r>
        <w:t xml:space="preserve"> </w:t>
      </w:r>
      <w:r>
        <w:t xml:space="preserve">по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  <w:r/>
    </w:p>
    <w:p>
      <w:pPr>
        <w:pStyle w:val="721"/>
        <w:pBdr/>
        <w:spacing/>
        <w:ind/>
        <w:rPr/>
      </w:pPr>
      <w:r>
        <w:t xml:space="preserve">2025-12-17</w:t>
      </w:r>
      <w:r/>
    </w:p>
    <w:p>
      <w:pPr>
        <w:pStyle w:val="725"/>
        <w:pBdr/>
        <w:spacing/>
        <w:ind/>
        <w:rPr>
          <w:lang w:val="ru-RU"/>
        </w:rPr>
      </w:pPr>
      <w:r/>
      <w:bookmarkStart w:id="20" w:name="резюме-для-топ-менеджмента"/>
      <w:r>
        <w:t xml:space="preserve">Резюме для топ-менеджмента</w:t>
      </w:r>
      <w:r>
        <w:rPr>
          <w:lang w:val="ru-RU" w:bidi="ru-RU"/>
        </w:rPr>
      </w:r>
      <w:r>
        <w:rPr>
          <w:lang w:val="ru-RU"/>
        </w:rPr>
      </w:r>
    </w:p>
    <w:p>
      <w:pPr>
        <w:pStyle w:val="716"/>
        <w:pBdr/>
        <w:spacing/>
        <w:ind/>
        <w:rPr/>
      </w:pPr>
      <w:r>
        <w:rPr>
          <w:b/>
          <w:bCs/>
        </w:rPr>
        <w:t xml:space="preserve">Статус безопасности:</w:t>
      </w:r>
      <w:r>
        <w:t xml:space="preserve"> </w:t>
      </w:r>
      <w:r>
        <w:t xml:space="preserve">🔴</w:t>
      </w:r>
      <w:r>
        <w:t xml:space="preserve"> </w:t>
      </w:r>
      <w:r>
        <w:rPr>
          <w:b/>
          <w:bCs/>
        </w:rPr>
        <w:t xml:space="preserve">КРИТИЧЕСКИЙ</w:t>
      </w:r>
      <w:r>
        <w:t xml:space="preserve"> </w:t>
      </w:r>
      <w:r>
        <w:t xml:space="preserve">- требуется немедленное вмешательство руководства</w:t>
      </w:r>
      <w:r/>
    </w:p>
    <w:p>
      <w:pPr>
        <w:pStyle w:val="715"/>
        <w:pBdr/>
        <w:spacing/>
        <w:ind/>
        <w:rPr/>
      </w:pPr>
      <w:r>
        <w:t xml:space="preserve">Проведенный аудит безопасности корпоративного веб-ресурса example.com выявил серьезные уязвимости, которые создают</w:t>
      </w:r>
      <w:r>
        <w:t xml:space="preserve"> </w:t>
      </w:r>
      <w:r>
        <w:rPr>
          <w:b/>
          <w:bCs/>
        </w:rPr>
        <w:t xml:space="preserve">прямую угрозу для бизнеса</w:t>
      </w:r>
      <w:r>
        <w:t xml:space="preserve">. Без немедленных действий компания рискует столкнуться с кибератаками, утечками данных и значительными финансовыми потерями.</w:t>
      </w:r>
      <w:r/>
    </w:p>
    <w:p>
      <w:pPr>
        <w:pStyle w:val="734"/>
        <w:pBdr/>
        <w:spacing/>
        <w:ind/>
        <w:rPr/>
      </w:pPr>
      <w:r>
        <w:rPr>
          <w:b/>
          <w:bCs/>
        </w:rPr>
        <w:t xml:space="preserve">⚠️ Ключевая угроза</w:t>
      </w:r>
      <w:r>
        <w:t xml:space="preserve">: Обнаружены открытые</w:t>
      </w:r>
      <w:r>
        <w:t xml:space="preserve"> </w:t>
      </w:r>
      <w:r>
        <w:t xml:space="preserve">“</w:t>
      </w:r>
      <w:r>
        <w:t xml:space="preserve">черные ходы</w:t>
      </w:r>
      <w:r>
        <w:t xml:space="preserve">”</w:t>
      </w:r>
      <w:r>
        <w:t xml:space="preserve"> </w:t>
      </w:r>
      <w:r>
        <w:t xml:space="preserve">в систему (порты 8080/8443), которые могут быть использованы злоумышленниками для обхода всех систем защиты.</w:t>
      </w:r>
      <w:bookmarkEnd w:id="20"/>
      <w:r/>
    </w:p>
    <w:p>
      <w:pPr>
        <w:pStyle w:val="725"/>
        <w:pBdr/>
        <w:spacing/>
        <w:ind/>
        <w:rPr/>
      </w:pPr>
      <w:r/>
      <w:bookmarkStart w:id="25" w:name="бизнес-воздействие-и-финансовые-риски"/>
      <w:r>
        <w:t xml:space="preserve">Бизнес-воздействие и финансовые риски</w:t>
      </w:r>
      <w:r/>
    </w:p>
    <w:p>
      <w:pPr>
        <w:pStyle w:val="726"/>
        <w:pBdr/>
        <w:spacing/>
        <w:ind/>
        <w:rPr/>
      </w:pPr>
      <w:r/>
      <w:bookmarkStart w:id="21" w:name="потенциальные-финансовые-потери"/>
      <w:r>
        <w:t xml:space="preserve">Потенциальные финансовые потери</w:t>
      </w:r>
      <w:r/>
    </w:p>
    <w:tbl>
      <w:tblPr>
        <w:tblStyle w:val="738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1452"/>
        <w:gridCol w:w="1716"/>
        <w:gridCol w:w="2508"/>
        <w:gridCol w:w="2244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Тип риска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Вероятность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Потенциальный ущерб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Временные рамки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Штрафы GDPR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Высокая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€20M - €80M (4% от оборота)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72 часа после инцидента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Простой сайта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Средняя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€50K - €200K/день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Немедленно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Утечка данных клиентов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Высокая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€500K - €2M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1-30 дней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Репутационный ущерб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Очень высокая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€1M - €5M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6-24 месяца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Судебные иски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Средняя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€100K - €1M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3-12 месяцев</w:t>
            </w:r>
            <w:r/>
          </w:p>
        </w:tc>
      </w:tr>
    </w:tbl>
    <w:p>
      <w:pPr>
        <w:pStyle w:val="715"/>
        <w:pBdr/>
        <w:spacing/>
        <w:ind/>
        <w:rPr/>
      </w:pPr>
      <w:r>
        <w:rPr>
          <w:b/>
          <w:bCs/>
        </w:rPr>
        <w:t xml:space="preserve">Общий потенциальный ущерб: €21.65M - €88.2M</w:t>
      </w:r>
      <w:bookmarkEnd w:id="21"/>
      <w:r/>
    </w:p>
    <w:p>
      <w:pPr>
        <w:pStyle w:val="726"/>
        <w:pBdr/>
        <w:spacing/>
        <w:ind/>
        <w:rPr/>
      </w:pPr>
      <w:r/>
      <w:bookmarkStart w:id="24" w:name="сценарии-атак-и-их-последствия"/>
      <w:r>
        <w:t xml:space="preserve">Сценарии атак и их последствия</w:t>
      </w:r>
      <w:r/>
    </w:p>
    <w:p>
      <w:pPr>
        <w:pStyle w:val="727"/>
        <w:pBdr/>
        <w:spacing/>
        <w:ind/>
        <w:rPr/>
      </w:pPr>
      <w:r/>
      <w:bookmarkStart w:id="22" w:name="сценарий-1-обход-защиты-через-порт-8080"/>
      <w:r>
        <w:t xml:space="preserve">🎯 Сценарий 1:</w:t>
      </w:r>
      <w:r>
        <w:t xml:space="preserve"> </w:t>
      </w:r>
      <w:r>
        <w:t xml:space="preserve">“</w:t>
      </w:r>
      <w:r>
        <w:t xml:space="preserve">Обход защиты через порт 8080</w:t>
      </w:r>
      <w:r>
        <w:t xml:space="preserve">”</w:t>
      </w:r>
      <w:r/>
    </w:p>
    <w:p>
      <w:pPr>
        <w:pStyle w:val="716"/>
        <w:pBdr/>
        <w:spacing/>
        <w:ind/>
        <w:rPr/>
      </w:pPr>
      <w:r>
        <w:rPr>
          <w:b/>
          <w:bCs/>
        </w:rPr>
        <w:t xml:space="preserve">Что происходит:</w:t>
      </w:r>
      <w:r>
        <w:t xml:space="preserve"> </w:t>
      </w:r>
      <w:r>
        <w:t xml:space="preserve">1. Хакер обнаруживает открытый порт 8080 (альтернативный вход)</w:t>
      </w:r>
      <w:r>
        <w:t xml:space="preserve"> </w:t>
      </w:r>
      <w:r>
        <w:t xml:space="preserve">2. Использует его для обхода системы защиты Cloudflare</w:t>
      </w:r>
      <w:r>
        <w:t xml:space="preserve"> </w:t>
      </w:r>
      <w:r>
        <w:t xml:space="preserve">3. Получает доступ к административной панели WordPress</w:t>
      </w:r>
      <w:r>
        <w:t xml:space="preserve"> </w:t>
      </w:r>
      <w:r>
        <w:t xml:space="preserve">4. Устанавливает вредоносное ПО и крадет базу данных клиентов</w:t>
      </w:r>
      <w:r/>
    </w:p>
    <w:p>
      <w:pPr>
        <w:pStyle w:val="715"/>
        <w:pBdr/>
        <w:spacing/>
        <w:ind/>
        <w:rPr/>
      </w:pPr>
      <w:r>
        <w:rPr>
          <w:b/>
          <w:bCs/>
        </w:rPr>
        <w:t xml:space="preserve">Бизнес-последствия:</w:t>
      </w:r>
      <w:r>
        <w:t xml:space="preserve"> </w:t>
      </w:r>
      <w:r>
        <w:t xml:space="preserve">- ⏱️</w:t>
      </w:r>
      <w:r>
        <w:t xml:space="preserve"> </w:t>
      </w:r>
      <w:r>
        <w:rPr>
          <w:b/>
          <w:bCs/>
        </w:rPr>
        <w:t xml:space="preserve">Время атаки</w:t>
      </w:r>
      <w:r>
        <w:t xml:space="preserve">: 2-4 часа</w:t>
      </w:r>
      <w:r>
        <w:t xml:space="preserve"> </w:t>
      </w:r>
      <w:r>
        <w:t xml:space="preserve">- 💰</w:t>
      </w:r>
      <w:r>
        <w:t xml:space="preserve"> </w:t>
      </w:r>
      <w:r>
        <w:rPr>
          <w:b/>
          <w:bCs/>
        </w:rPr>
        <w:t xml:space="preserve">Прямые потери</w:t>
      </w:r>
      <w:r>
        <w:t xml:space="preserve">: €2-5M (штрафы + восстановление)</w:t>
      </w:r>
      <w:r>
        <w:t xml:space="preserve"> </w:t>
      </w:r>
      <w:r>
        <w:t xml:space="preserve">- 📉</w:t>
      </w:r>
      <w:r>
        <w:t xml:space="preserve"> </w:t>
      </w:r>
      <w:r>
        <w:rPr>
          <w:b/>
          <w:bCs/>
        </w:rPr>
        <w:t xml:space="preserve">Потеря клиентов</w:t>
      </w:r>
      <w:r>
        <w:t xml:space="preserve">: 15-30% в течение года</w:t>
      </w:r>
      <w:r>
        <w:t xml:space="preserve"> </w:t>
      </w:r>
      <w:r>
        <w:t xml:space="preserve">- 🏛️</w:t>
      </w:r>
      <w:r>
        <w:t xml:space="preserve"> </w:t>
      </w:r>
      <w:r>
        <w:rPr>
          <w:b/>
          <w:bCs/>
        </w:rPr>
        <w:t xml:space="preserve">Регуляторные санкции</w:t>
      </w:r>
      <w:r>
        <w:t xml:space="preserve">: Расследование GDPR, возможная приостановка деятельности</w:t>
      </w:r>
      <w:bookmarkEnd w:id="22"/>
      <w:r/>
    </w:p>
    <w:p>
      <w:pPr>
        <w:pStyle w:val="727"/>
        <w:pBdr/>
        <w:spacing/>
        <w:ind/>
        <w:rPr/>
      </w:pPr>
      <w:r/>
      <w:bookmarkStart w:id="23" w:name="сценарий-2-компрометация-wordpress"/>
      <w:r>
        <w:t xml:space="preserve">🎯 Сценарий 2:</w:t>
      </w:r>
      <w:r>
        <w:t xml:space="preserve"> </w:t>
      </w:r>
      <w:r>
        <w:t xml:space="preserve">“</w:t>
      </w:r>
      <w:r>
        <w:t xml:space="preserve">Компрометация WordPress</w:t>
      </w:r>
      <w:r>
        <w:t xml:space="preserve">”</w:t>
      </w:r>
      <w:r/>
    </w:p>
    <w:p>
      <w:pPr>
        <w:pStyle w:val="716"/>
        <w:pBdr/>
        <w:spacing/>
        <w:ind/>
        <w:rPr/>
      </w:pPr>
      <w:r>
        <w:rPr>
          <w:b/>
          <w:bCs/>
        </w:rPr>
        <w:t xml:space="preserve">Что происходит:</w:t>
      </w:r>
      <w:r>
        <w:t xml:space="preserve"> </w:t>
      </w:r>
      <w:r>
        <w:t xml:space="preserve">1. Злоумышленник находит админ-панель WordPress (/wp-admin/)</w:t>
      </w:r>
      <w:r>
        <w:t xml:space="preserve"> </w:t>
      </w:r>
      <w:r>
        <w:t xml:space="preserve">2. Проводит brute-force атаку на пароли</w:t>
      </w:r>
      <w:r>
        <w:t xml:space="preserve"> </w:t>
      </w:r>
      <w:r>
        <w:t xml:space="preserve">3. Получает контроль над сайтом</w:t>
      </w:r>
      <w:r>
        <w:t xml:space="preserve"> </w:t>
      </w:r>
      <w:r>
        <w:t xml:space="preserve">4. Размещает вредоносный контент или вымогает выкуп</w:t>
      </w:r>
      <w:r/>
    </w:p>
    <w:p>
      <w:pPr>
        <w:pStyle w:val="715"/>
        <w:pBdr/>
        <w:spacing/>
        <w:ind/>
        <w:rPr/>
      </w:pPr>
      <w:r>
        <w:rPr>
          <w:b/>
          <w:bCs/>
        </w:rPr>
        <w:t xml:space="preserve">Бизнес-последствия:</w:t>
      </w:r>
      <w:r>
        <w:t xml:space="preserve"> </w:t>
      </w:r>
      <w:r>
        <w:t xml:space="preserve">- ⏱️</w:t>
      </w:r>
      <w:r>
        <w:t xml:space="preserve"> </w:t>
      </w:r>
      <w:r>
        <w:rPr>
          <w:b/>
          <w:bCs/>
        </w:rPr>
        <w:t xml:space="preserve">Время атаки</w:t>
      </w:r>
      <w:r>
        <w:t xml:space="preserve">: 6-24 часа</w:t>
      </w:r>
      <w:r>
        <w:t xml:space="preserve"> </w:t>
      </w:r>
      <w:r>
        <w:t xml:space="preserve">- 💰</w:t>
      </w:r>
      <w:r>
        <w:t xml:space="preserve"> </w:t>
      </w:r>
      <w:r>
        <w:rPr>
          <w:b/>
          <w:bCs/>
        </w:rPr>
        <w:t xml:space="preserve">Прямые потери</w:t>
      </w:r>
      <w:r>
        <w:t xml:space="preserve">: €100K-500K</w:t>
      </w:r>
      <w:r>
        <w:t xml:space="preserve"> </w:t>
      </w:r>
      <w:r>
        <w:t xml:space="preserve">- 🔒</w:t>
      </w:r>
      <w:r>
        <w:t xml:space="preserve"> </w:t>
      </w:r>
      <w:r>
        <w:rPr>
          <w:b/>
          <w:bCs/>
        </w:rPr>
        <w:t xml:space="preserve">Выкуп</w:t>
      </w:r>
      <w:r>
        <w:t xml:space="preserve">: €50K-200K</w:t>
      </w:r>
      <w:r>
        <w:t xml:space="preserve"> </w:t>
      </w:r>
      <w:r>
        <w:t xml:space="preserve">- 📰</w:t>
      </w:r>
      <w:r>
        <w:t xml:space="preserve"> </w:t>
      </w:r>
      <w:r>
        <w:rPr>
          <w:b/>
          <w:bCs/>
        </w:rPr>
        <w:t xml:space="preserve">Медиа-скандал</w:t>
      </w:r>
      <w:r>
        <w:t xml:space="preserve">: Негативные публикации о</w:t>
      </w:r>
      <w:r>
        <w:t xml:space="preserve"> </w:t>
      </w:r>
      <w:r>
        <w:t xml:space="preserve">“</w:t>
      </w:r>
      <w:r>
        <w:t xml:space="preserve">взломанной компании по кибербезопасности</w:t>
      </w:r>
      <w:r>
        <w:t xml:space="preserve">”</w:t>
      </w:r>
      <w:bookmarkEnd w:id="23"/>
      <w:bookmarkEnd w:id="24"/>
      <w:bookmarkEnd w:id="25"/>
      <w:r/>
    </w:p>
    <w:p>
      <w:pPr>
        <w:pStyle w:val="725"/>
        <w:pBdr/>
        <w:spacing/>
        <w:ind/>
        <w:rPr/>
      </w:pPr>
      <w:r/>
      <w:bookmarkStart w:id="28" w:name="оценка-зрелости-безопасности"/>
      <w:r>
        <w:t xml:space="preserve">Оценка зрелости безопасности</w:t>
      </w:r>
      <w:r/>
    </w:p>
    <w:p>
      <w:pPr>
        <w:pStyle w:val="726"/>
        <w:pBdr/>
        <w:spacing/>
        <w:ind/>
        <w:rPr/>
      </w:pPr>
      <w:r/>
      <w:bookmarkStart w:id="26" w:name="текущий-уровень-25-начальный"/>
      <w:r>
        <w:t xml:space="preserve">Текущий уровень: 2/5 (Начальный)</w:t>
      </w:r>
      <w:r/>
    </w:p>
    <w:tbl>
      <w:tblPr>
        <w:tblStyle w:val="738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1425"/>
        <w:gridCol w:w="2534"/>
        <w:gridCol w:w="2692"/>
        <w:gridCol w:w="1267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Область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Текущий статус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Целевой уровень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Разрыв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Управление рисками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🔴 Отсутствует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🟢 Оптимизированный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Критический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Защита периметра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🟡 Базовый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🟢 Продвинутый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Значительный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Мониторинг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🔴 Отсутствует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🟢 Непрерывный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Критический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Реагирование на инциденты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🔴 Отсутствует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🟢 Автоматизированный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Критический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Соответствие стандартам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🟡 Частичное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🟢 Полное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Умеренный</w:t>
            </w:r>
            <w:bookmarkEnd w:id="26"/>
            <w:r/>
          </w:p>
        </w:tc>
      </w:tr>
    </w:tbl>
    <w:p>
      <w:pPr>
        <w:pStyle w:val="726"/>
        <w:pBdr/>
        <w:spacing/>
        <w:ind/>
        <w:rPr/>
      </w:pPr>
      <w:r/>
      <w:bookmarkStart w:id="27" w:name="соответствие-регуляторным-требованиям"/>
      <w:r>
        <w:t xml:space="preserve">Соответствие регуляторным требованиям</w:t>
      </w:r>
      <w:r/>
    </w:p>
    <w:tbl>
      <w:tblPr>
        <w:tblStyle w:val="738"/>
        <w:tblW w:w="0" w:type="auto"/>
        <w:tblBorders/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Стандарт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Текущий статус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Требуемые действия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Срок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GDPR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⚠️ Частично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Усилить защиту данных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30 дней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ISO 27001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❌ Не соответствует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Внедрить ISMS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6 месяцев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NIST CSF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⚠️ Уровень 2/5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Достичь уровня 4/5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3 месяца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PCI DSS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❓ Требует оценки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Провести аудит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60 дней</w:t>
            </w:r>
            <w:bookmarkEnd w:id="27"/>
            <w:bookmarkEnd w:id="28"/>
            <w:r/>
          </w:p>
        </w:tc>
      </w:tr>
    </w:tbl>
    <w:p>
      <w:pPr>
        <w:pStyle w:val="725"/>
        <w:pBdr/>
        <w:spacing/>
        <w:ind/>
        <w:rPr/>
      </w:pPr>
      <w:r/>
      <w:bookmarkStart w:id="35" w:name="Xb65057bb8bc98b4cadb9f02dd0f109807697e53"/>
      <w:r>
        <w:t xml:space="preserve">Критические уязвимости (требуют решения CEO/CTO)</w:t>
      </w:r>
      <w:r/>
    </w:p>
    <w:p>
      <w:pPr>
        <w:pStyle w:val="726"/>
        <w:pBdr/>
        <w:spacing/>
        <w:ind/>
        <w:rPr/>
      </w:pPr>
      <w:r/>
      <w:bookmarkStart w:id="31" w:name="приоритет-p0-немедленно---24-часа"/>
      <w:r>
        <w:t xml:space="preserve">🔴 Приоритет P0 (Немедленно - 24 часа)</w:t>
      </w:r>
      <w:r/>
    </w:p>
    <w:p>
      <w:pPr>
        <w:pStyle w:val="727"/>
        <w:pBdr/>
        <w:spacing/>
        <w:ind/>
        <w:rPr/>
      </w:pPr>
      <w:r/>
      <w:bookmarkStart w:id="29" w:name="открытые-черные-ходы-в-систему"/>
      <w:r>
        <w:t xml:space="preserve">1. Открытые</w:t>
      </w:r>
      <w:r>
        <w:t xml:space="preserve"> </w:t>
      </w:r>
      <w:r>
        <w:t xml:space="preserve">“</w:t>
      </w:r>
      <w:r>
        <w:t xml:space="preserve">черные ходы</w:t>
      </w:r>
      <w:r>
        <w:t xml:space="preserve">”</w:t>
      </w:r>
      <w:r>
        <w:t xml:space="preserve"> </w:t>
      </w:r>
      <w:r>
        <w:t xml:space="preserve">в систему</w:t>
      </w:r>
      <w:r/>
    </w:p>
    <w:p>
      <w:pPr>
        <w:pStyle w:val="717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Проблема</w:t>
      </w:r>
      <w:r>
        <w:t xml:space="preserve">: Порты 8080 и 8443 создают альтернативные точки входа</w:t>
      </w:r>
      <w:r/>
    </w:p>
    <w:p>
      <w:pPr>
        <w:pStyle w:val="717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Бизнес-риск</w:t>
      </w:r>
      <w:r>
        <w:t xml:space="preserve">: Обход всех систем защиты</w:t>
      </w:r>
      <w:r/>
    </w:p>
    <w:p>
      <w:pPr>
        <w:pStyle w:val="717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Решение</w:t>
      </w:r>
      <w:r>
        <w:t xml:space="preserve">: Закрыть неиспользуемые порты</w:t>
      </w:r>
      <w:r/>
    </w:p>
    <w:p>
      <w:pPr>
        <w:pStyle w:val="717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Бюджет</w:t>
      </w:r>
      <w:r>
        <w:t xml:space="preserve">: €0 (изменение конфигурации)</w:t>
      </w:r>
      <w:r/>
    </w:p>
    <w:p>
      <w:pPr>
        <w:pStyle w:val="717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Ответственный</w:t>
      </w:r>
      <w:r>
        <w:t xml:space="preserve">: CTO + Системный администратор</w:t>
      </w:r>
      <w:bookmarkEnd w:id="29"/>
      <w:r/>
    </w:p>
    <w:p>
      <w:pPr>
        <w:pStyle w:val="727"/>
        <w:pBdr/>
        <w:spacing/>
        <w:ind/>
        <w:rPr/>
      </w:pPr>
      <w:r/>
      <w:bookmarkStart w:id="30" w:name="незащищенная-административная-панель"/>
      <w:r>
        <w:t xml:space="preserve">2. Незащищенная административная панель</w:t>
      </w:r>
      <w:r/>
    </w:p>
    <w:p>
      <w:pPr>
        <w:pStyle w:val="717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Проблема</w:t>
      </w:r>
      <w:r>
        <w:t xml:space="preserve">: WordPress админка доступна всем в интернете</w:t>
      </w:r>
      <w:r/>
    </w:p>
    <w:p>
      <w:pPr>
        <w:pStyle w:val="717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Бизнес-риск</w:t>
      </w:r>
      <w:r>
        <w:t xml:space="preserve">: Полная компрометация сайта</w:t>
      </w:r>
      <w:r/>
    </w:p>
    <w:p>
      <w:pPr>
        <w:pStyle w:val="717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Решение</w:t>
      </w:r>
      <w:r>
        <w:t xml:space="preserve">: Ограничить доступ по IP + двухфакторная аутентификация</w:t>
      </w:r>
      <w:r/>
    </w:p>
    <w:p>
      <w:pPr>
        <w:pStyle w:val="717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Бюджет</w:t>
      </w:r>
      <w:r>
        <w:t xml:space="preserve">: €2,000-5,000 (лицензии безопасности)</w:t>
      </w:r>
      <w:r/>
    </w:p>
    <w:p>
      <w:pPr>
        <w:pStyle w:val="717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Ответственный</w:t>
      </w:r>
      <w:r>
        <w:t xml:space="preserve">: CTO + IT-менеджер</w:t>
      </w:r>
      <w:bookmarkEnd w:id="30"/>
      <w:bookmarkEnd w:id="31"/>
      <w:r/>
    </w:p>
    <w:p>
      <w:pPr>
        <w:pStyle w:val="726"/>
        <w:pBdr/>
        <w:spacing/>
        <w:ind/>
        <w:rPr/>
      </w:pPr>
      <w:r/>
      <w:bookmarkStart w:id="34" w:name="приоритет-p1-1-неделя"/>
      <w:r>
        <w:t xml:space="preserve">🟠 Приоритет P1 (1 неделя)</w:t>
      </w:r>
      <w:r/>
    </w:p>
    <w:p>
      <w:pPr>
        <w:pStyle w:val="727"/>
        <w:pBdr/>
        <w:spacing/>
        <w:ind/>
        <w:rPr/>
      </w:pPr>
      <w:r/>
      <w:bookmarkStart w:id="32" w:name="X78d813c08900a55a0b007755a88d443383ffdb2"/>
      <w:r>
        <w:t xml:space="preserve">3. Отсутствие системы раннего предупреждения</w:t>
      </w:r>
      <w:r/>
    </w:p>
    <w:p>
      <w:pPr>
        <w:pStyle w:val="717"/>
        <w:numPr>
          <w:ilvl w:val="0"/>
          <w:numId w:val="4"/>
        </w:numPr>
        <w:pBdr/>
        <w:spacing/>
        <w:ind/>
        <w:rPr/>
      </w:pPr>
      <w:r>
        <w:rPr>
          <w:b/>
          <w:bCs/>
        </w:rPr>
        <w:t xml:space="preserve">Проблема</w:t>
      </w:r>
      <w:r>
        <w:t xml:space="preserve">: Атаки могут оставаться незамеченными часами/днями</w:t>
      </w:r>
      <w:r/>
    </w:p>
    <w:p>
      <w:pPr>
        <w:pStyle w:val="717"/>
        <w:numPr>
          <w:ilvl w:val="0"/>
          <w:numId w:val="4"/>
        </w:numPr>
        <w:pBdr/>
        <w:spacing/>
        <w:ind/>
        <w:rPr/>
      </w:pPr>
      <w:r>
        <w:rPr>
          <w:b/>
          <w:bCs/>
        </w:rPr>
        <w:t xml:space="preserve">Бизнес-риск</w:t>
      </w:r>
      <w:r>
        <w:t xml:space="preserve">: Увеличение ущерба от инцидентов в 5-10 раз</w:t>
      </w:r>
      <w:r/>
    </w:p>
    <w:p>
      <w:pPr>
        <w:pStyle w:val="717"/>
        <w:numPr>
          <w:ilvl w:val="0"/>
          <w:numId w:val="4"/>
        </w:numPr>
        <w:pBdr/>
        <w:spacing/>
        <w:ind/>
        <w:rPr/>
      </w:pPr>
      <w:r>
        <w:rPr>
          <w:b/>
          <w:bCs/>
        </w:rPr>
        <w:t xml:space="preserve">Решение</w:t>
      </w:r>
      <w:r>
        <w:t xml:space="preserve">: Внедрить SOC (Security Operations Center)</w:t>
      </w:r>
      <w:r/>
    </w:p>
    <w:p>
      <w:pPr>
        <w:pStyle w:val="717"/>
        <w:numPr>
          <w:ilvl w:val="0"/>
          <w:numId w:val="4"/>
        </w:numPr>
        <w:pBdr/>
        <w:spacing/>
        <w:ind/>
        <w:rPr/>
      </w:pPr>
      <w:r>
        <w:rPr>
          <w:b/>
          <w:bCs/>
        </w:rPr>
        <w:t xml:space="preserve">Бюджет</w:t>
      </w:r>
      <w:r>
        <w:t xml:space="preserve">: €15,000-30,000/год</w:t>
      </w:r>
      <w:r/>
    </w:p>
    <w:p>
      <w:pPr>
        <w:pStyle w:val="717"/>
        <w:numPr>
          <w:ilvl w:val="0"/>
          <w:numId w:val="4"/>
        </w:numPr>
        <w:pBdr/>
        <w:spacing/>
        <w:ind/>
        <w:rPr/>
      </w:pPr>
      <w:r>
        <w:rPr>
          <w:b/>
          <w:bCs/>
        </w:rPr>
        <w:t xml:space="preserve">Ответственный</w:t>
      </w:r>
      <w:r>
        <w:t xml:space="preserve">: CISO + Внешний подрядчик</w:t>
      </w:r>
      <w:bookmarkEnd w:id="32"/>
      <w:r/>
    </w:p>
    <w:p>
      <w:pPr>
        <w:pStyle w:val="727"/>
        <w:pBdr/>
        <w:spacing/>
        <w:ind/>
        <w:rPr/>
      </w:pPr>
      <w:r/>
      <w:bookmarkStart w:id="33" w:name="устаревшие-протоколы-шифрования"/>
      <w:r>
        <w:t xml:space="preserve">4. Устаревшие протоколы шифрования</w:t>
      </w:r>
      <w:r/>
    </w:p>
    <w:p>
      <w:pPr>
        <w:pStyle w:val="717"/>
        <w:numPr>
          <w:ilvl w:val="0"/>
          <w:numId w:val="5"/>
        </w:numPr>
        <w:pBdr/>
        <w:spacing/>
        <w:ind/>
        <w:rPr/>
      </w:pPr>
      <w:r>
        <w:rPr>
          <w:b/>
          <w:bCs/>
        </w:rPr>
        <w:t xml:space="preserve">Проблема</w:t>
      </w:r>
      <w:r>
        <w:t xml:space="preserve">: Использование уязвимых алгоритмов шифрования</w:t>
      </w:r>
      <w:r/>
    </w:p>
    <w:p>
      <w:pPr>
        <w:pStyle w:val="717"/>
        <w:numPr>
          <w:ilvl w:val="0"/>
          <w:numId w:val="5"/>
        </w:numPr>
        <w:pBdr/>
        <w:spacing/>
        <w:ind/>
        <w:rPr/>
      </w:pPr>
      <w:r>
        <w:rPr>
          <w:b/>
          <w:bCs/>
        </w:rPr>
        <w:t xml:space="preserve">Бизнес-риск</w:t>
      </w:r>
      <w:r>
        <w:t xml:space="preserve">: Перехват конфиденциальных данных</w:t>
      </w:r>
      <w:r/>
    </w:p>
    <w:p>
      <w:pPr>
        <w:pStyle w:val="717"/>
        <w:numPr>
          <w:ilvl w:val="0"/>
          <w:numId w:val="5"/>
        </w:numPr>
        <w:pBdr/>
        <w:spacing/>
        <w:ind/>
        <w:rPr/>
      </w:pPr>
      <w:r>
        <w:rPr>
          <w:b/>
          <w:bCs/>
        </w:rPr>
        <w:t xml:space="preserve">Решение</w:t>
      </w:r>
      <w:r>
        <w:t xml:space="preserve">: Обновить SSL/TLS конфигурацию</w:t>
      </w:r>
      <w:r/>
    </w:p>
    <w:p>
      <w:pPr>
        <w:pStyle w:val="717"/>
        <w:numPr>
          <w:ilvl w:val="0"/>
          <w:numId w:val="5"/>
        </w:numPr>
        <w:pBdr/>
        <w:spacing/>
        <w:ind/>
        <w:rPr/>
      </w:pPr>
      <w:r>
        <w:rPr>
          <w:b/>
          <w:bCs/>
        </w:rPr>
        <w:t xml:space="preserve">Бюджет</w:t>
      </w:r>
      <w:r>
        <w:t xml:space="preserve">: €3,000-8,000 (консультации + внедрение)</w:t>
      </w:r>
      <w:r/>
    </w:p>
    <w:p>
      <w:pPr>
        <w:pStyle w:val="717"/>
        <w:numPr>
          <w:ilvl w:val="0"/>
          <w:numId w:val="5"/>
        </w:numPr>
        <w:pBdr/>
        <w:spacing/>
        <w:ind/>
        <w:rPr/>
      </w:pPr>
      <w:r>
        <w:rPr>
          <w:b/>
          <w:bCs/>
        </w:rPr>
        <w:t xml:space="preserve">Ответственный</w:t>
      </w:r>
      <w:r>
        <w:t xml:space="preserve">: CTO + Внешний эксперт</w:t>
      </w:r>
      <w:bookmarkEnd w:id="33"/>
      <w:bookmarkEnd w:id="34"/>
      <w:bookmarkEnd w:id="35"/>
      <w:r/>
    </w:p>
    <w:p>
      <w:pPr>
        <w:pStyle w:val="725"/>
        <w:pBdr/>
        <w:spacing/>
        <w:ind/>
        <w:rPr/>
      </w:pPr>
      <w:r/>
      <w:bookmarkStart w:id="43" w:name="рекомендации-для-руководства"/>
      <w:r>
        <w:t xml:space="preserve">Рекомендации для руководства</w:t>
      </w:r>
      <w:r/>
    </w:p>
    <w:p>
      <w:pPr>
        <w:pStyle w:val="726"/>
        <w:pBdr/>
        <w:spacing/>
        <w:ind/>
        <w:rPr/>
      </w:pPr>
      <w:r/>
      <w:bookmarkStart w:id="39" w:name="Xa43be8e922fcebd08777858fb4a23f5316875f9"/>
      <w:r>
        <w:t xml:space="preserve">Немедленные решения (требуют утверждения CEO)</w:t>
      </w:r>
      <w:r/>
    </w:p>
    <w:p>
      <w:pPr>
        <w:pStyle w:val="727"/>
        <w:pBdr/>
        <w:spacing/>
        <w:ind/>
        <w:rPr/>
      </w:pPr>
      <w:r/>
      <w:bookmarkStart w:id="36" w:name="создание-кризисной-группы-реагирования"/>
      <w:r>
        <w:t xml:space="preserve">1. Создание кризисной группы реагирования</w:t>
      </w:r>
      <w:r/>
    </w:p>
    <w:p>
      <w:pPr>
        <w:pStyle w:val="717"/>
        <w:numPr>
          <w:ilvl w:val="0"/>
          <w:numId w:val="6"/>
        </w:numPr>
        <w:pBdr/>
        <w:spacing/>
        <w:ind/>
        <w:rPr/>
      </w:pPr>
      <w:r>
        <w:rPr>
          <w:b/>
          <w:bCs/>
        </w:rPr>
        <w:t xml:space="preserve">Состав</w:t>
      </w:r>
      <w:r>
        <w:t xml:space="preserve">: CTO, CISO, Юрист, PR-менеджер</w:t>
      </w:r>
      <w:r/>
    </w:p>
    <w:p>
      <w:pPr>
        <w:pStyle w:val="717"/>
        <w:numPr>
          <w:ilvl w:val="0"/>
          <w:numId w:val="6"/>
        </w:numPr>
        <w:pBdr/>
        <w:spacing/>
        <w:ind/>
        <w:rPr/>
      </w:pPr>
      <w:r>
        <w:rPr>
          <w:b/>
          <w:bCs/>
        </w:rPr>
        <w:t xml:space="preserve">Задача</w:t>
      </w:r>
      <w:r>
        <w:t xml:space="preserve">: Координация устранения критических уязвимостей</w:t>
      </w:r>
      <w:r/>
    </w:p>
    <w:p>
      <w:pPr>
        <w:pStyle w:val="717"/>
        <w:numPr>
          <w:ilvl w:val="0"/>
          <w:numId w:val="6"/>
        </w:numPr>
        <w:pBdr/>
        <w:spacing/>
        <w:ind/>
        <w:rPr/>
      </w:pPr>
      <w:r>
        <w:rPr>
          <w:b/>
          <w:bCs/>
        </w:rPr>
        <w:t xml:space="preserve">Бюджет</w:t>
      </w:r>
      <w:r>
        <w:t xml:space="preserve">: €10,000 (сверхурочные + консультации)</w:t>
      </w:r>
      <w:r/>
    </w:p>
    <w:p>
      <w:pPr>
        <w:pStyle w:val="717"/>
        <w:numPr>
          <w:ilvl w:val="0"/>
          <w:numId w:val="6"/>
        </w:numPr>
        <w:pBdr/>
        <w:spacing/>
        <w:ind/>
        <w:rPr/>
      </w:pPr>
      <w:r>
        <w:rPr>
          <w:b/>
          <w:bCs/>
        </w:rPr>
        <w:t xml:space="preserve">Срок</w:t>
      </w:r>
      <w:r>
        <w:t xml:space="preserve">: Создать в течение 24 часов</w:t>
      </w:r>
      <w:bookmarkEnd w:id="36"/>
      <w:r/>
    </w:p>
    <w:p>
      <w:pPr>
        <w:pStyle w:val="727"/>
        <w:pBdr/>
        <w:spacing/>
        <w:ind/>
        <w:rPr/>
      </w:pPr>
      <w:r/>
      <w:bookmarkStart w:id="37" w:name="экстренный-аудит-всех-it-систем"/>
      <w:r>
        <w:t xml:space="preserve">2. Экстренный аудит всех IT-систем</w:t>
      </w:r>
      <w:r/>
    </w:p>
    <w:p>
      <w:pPr>
        <w:pStyle w:val="717"/>
        <w:numPr>
          <w:ilvl w:val="0"/>
          <w:numId w:val="7"/>
        </w:numPr>
        <w:pBdr/>
        <w:spacing/>
        <w:ind/>
        <w:rPr/>
      </w:pPr>
      <w:r>
        <w:rPr>
          <w:b/>
          <w:bCs/>
        </w:rPr>
        <w:t xml:space="preserve">Цель</w:t>
      </w:r>
      <w:r>
        <w:t xml:space="preserve">: Выявить аналогичные проблемы в других системах</w:t>
      </w:r>
      <w:r/>
    </w:p>
    <w:p>
      <w:pPr>
        <w:pStyle w:val="717"/>
        <w:numPr>
          <w:ilvl w:val="0"/>
          <w:numId w:val="7"/>
        </w:numPr>
        <w:pBdr/>
        <w:spacing/>
        <w:ind/>
        <w:rPr/>
      </w:pPr>
      <w:r>
        <w:rPr>
          <w:b/>
          <w:bCs/>
        </w:rPr>
        <w:t xml:space="preserve">Исполнитель</w:t>
      </w:r>
      <w:r>
        <w:t xml:space="preserve">: Внешняя компания по кибербезопасности</w:t>
      </w:r>
      <w:r/>
    </w:p>
    <w:p>
      <w:pPr>
        <w:pStyle w:val="717"/>
        <w:numPr>
          <w:ilvl w:val="0"/>
          <w:numId w:val="7"/>
        </w:numPr>
        <w:pBdr/>
        <w:spacing/>
        <w:ind/>
        <w:rPr/>
      </w:pPr>
      <w:r>
        <w:rPr>
          <w:b/>
          <w:bCs/>
        </w:rPr>
        <w:t xml:space="preserve">Бюджет</w:t>
      </w:r>
      <w:r>
        <w:t xml:space="preserve">: €25,000-50,000</w:t>
      </w:r>
      <w:r/>
    </w:p>
    <w:p>
      <w:pPr>
        <w:pStyle w:val="717"/>
        <w:numPr>
          <w:ilvl w:val="0"/>
          <w:numId w:val="7"/>
        </w:numPr>
        <w:pBdr/>
        <w:spacing/>
        <w:ind/>
        <w:rPr/>
      </w:pPr>
      <w:r>
        <w:rPr>
          <w:b/>
          <w:bCs/>
        </w:rPr>
        <w:t xml:space="preserve">Срок</w:t>
      </w:r>
      <w:r>
        <w:t xml:space="preserve">: 2 недели</w:t>
      </w:r>
      <w:bookmarkEnd w:id="37"/>
      <w:r/>
    </w:p>
    <w:p>
      <w:pPr>
        <w:pStyle w:val="727"/>
        <w:pBdr/>
        <w:spacing/>
        <w:ind/>
        <w:rPr/>
      </w:pPr>
      <w:r/>
      <w:bookmarkStart w:id="38" w:name="внедрение-системы-мониторинга-247"/>
      <w:r>
        <w:t xml:space="preserve">3. Внедрение системы мониторинга 24/7</w:t>
      </w:r>
      <w:r/>
    </w:p>
    <w:p>
      <w:pPr>
        <w:pStyle w:val="717"/>
        <w:numPr>
          <w:ilvl w:val="0"/>
          <w:numId w:val="8"/>
        </w:numPr>
        <w:pBdr/>
        <w:spacing/>
        <w:ind/>
        <w:rPr/>
      </w:pPr>
      <w:r>
        <w:rPr>
          <w:b/>
          <w:bCs/>
        </w:rPr>
        <w:t xml:space="preserve">Цель</w:t>
      </w:r>
      <w:r>
        <w:t xml:space="preserve">: Обнаружение атак в реальном времени</w:t>
      </w:r>
      <w:r/>
    </w:p>
    <w:p>
      <w:pPr>
        <w:pStyle w:val="717"/>
        <w:numPr>
          <w:ilvl w:val="0"/>
          <w:numId w:val="8"/>
        </w:numPr>
        <w:pBdr/>
        <w:spacing/>
        <w:ind/>
        <w:rPr/>
      </w:pPr>
      <w:r>
        <w:rPr>
          <w:b/>
          <w:bCs/>
        </w:rPr>
        <w:t xml:space="preserve">Решение</w:t>
      </w:r>
      <w:r>
        <w:t xml:space="preserve">: SOC-as-a-Service или собственный SOC</w:t>
      </w:r>
      <w:r/>
    </w:p>
    <w:p>
      <w:pPr>
        <w:pStyle w:val="717"/>
        <w:numPr>
          <w:ilvl w:val="0"/>
          <w:numId w:val="8"/>
        </w:numPr>
        <w:pBdr/>
        <w:spacing/>
        <w:ind/>
        <w:rPr/>
      </w:pPr>
      <w:r>
        <w:rPr>
          <w:b/>
          <w:bCs/>
        </w:rPr>
        <w:t xml:space="preserve">Бюджет</w:t>
      </w:r>
      <w:r>
        <w:t xml:space="preserve">: €20,000-40,000/год</w:t>
      </w:r>
      <w:r/>
    </w:p>
    <w:p>
      <w:pPr>
        <w:pStyle w:val="717"/>
        <w:numPr>
          <w:ilvl w:val="0"/>
          <w:numId w:val="8"/>
        </w:numPr>
        <w:pBdr/>
        <w:spacing/>
        <w:ind/>
        <w:rPr/>
      </w:pPr>
      <w:r>
        <w:rPr>
          <w:b/>
          <w:bCs/>
        </w:rPr>
        <w:t xml:space="preserve">Срок</w:t>
      </w:r>
      <w:r>
        <w:t xml:space="preserve">: 30 дней</w:t>
      </w:r>
      <w:bookmarkEnd w:id="38"/>
      <w:bookmarkEnd w:id="39"/>
      <w:r/>
    </w:p>
    <w:p>
      <w:pPr>
        <w:pStyle w:val="726"/>
        <w:pBdr/>
        <w:spacing/>
        <w:ind/>
        <w:rPr/>
      </w:pPr>
      <w:r/>
      <w:bookmarkStart w:id="42" w:name="стратегические-инициативы-3-6-месяцев"/>
      <w:r>
        <w:t xml:space="preserve">Стратегические инициативы (3-6 месяцев)</w:t>
      </w:r>
      <w:r/>
    </w:p>
    <w:p>
      <w:pPr>
        <w:pStyle w:val="727"/>
        <w:pBdr/>
        <w:spacing/>
        <w:ind/>
        <w:rPr/>
      </w:pPr>
      <w:r/>
      <w:bookmarkStart w:id="40" w:name="X2f063da50ae3d0e565b04035c6b792657ab0990"/>
      <w:r>
        <w:t xml:space="preserve">4. Программа повышения зрелости безопасности</w:t>
      </w:r>
      <w:r/>
    </w:p>
    <w:p>
      <w:pPr>
        <w:pStyle w:val="717"/>
        <w:numPr>
          <w:ilvl w:val="0"/>
          <w:numId w:val="9"/>
        </w:numPr>
        <w:pBdr/>
        <w:spacing/>
        <w:ind/>
        <w:rPr/>
      </w:pPr>
      <w:r>
        <w:rPr>
          <w:b/>
          <w:bCs/>
        </w:rPr>
        <w:t xml:space="preserve">Цель</w:t>
      </w:r>
      <w:r>
        <w:t xml:space="preserve">: Достижение уровня 4/5 по NIST CSF</w:t>
      </w:r>
      <w:r/>
    </w:p>
    <w:p>
      <w:pPr>
        <w:pStyle w:val="717"/>
        <w:numPr>
          <w:ilvl w:val="0"/>
          <w:numId w:val="9"/>
        </w:numPr>
        <w:pBdr/>
        <w:spacing/>
        <w:ind/>
        <w:rPr/>
      </w:pPr>
      <w:r>
        <w:rPr>
          <w:b/>
          <w:bCs/>
        </w:rPr>
        <w:t xml:space="preserve">Включает</w:t>
      </w:r>
      <w:r>
        <w:t xml:space="preserve">:</w:t>
      </w:r>
      <w:r/>
    </w:p>
    <w:p>
      <w:pPr>
        <w:pStyle w:val="717"/>
        <w:numPr>
          <w:ilvl w:val="1"/>
          <w:numId w:val="10"/>
        </w:numPr>
        <w:pBdr/>
        <w:spacing/>
        <w:ind/>
        <w:rPr/>
      </w:pPr>
      <w:r>
        <w:t xml:space="preserve">Внедрение ISMS (ISO 27001)</w:t>
      </w:r>
      <w:r/>
    </w:p>
    <w:p>
      <w:pPr>
        <w:pStyle w:val="717"/>
        <w:numPr>
          <w:ilvl w:val="1"/>
          <w:numId w:val="10"/>
        </w:numPr>
        <w:pBdr/>
        <w:spacing/>
        <w:ind/>
        <w:rPr/>
      </w:pPr>
      <w:r>
        <w:t xml:space="preserve">Автоматизация процессов безопасности</w:t>
      </w:r>
      <w:r/>
    </w:p>
    <w:p>
      <w:pPr>
        <w:pStyle w:val="717"/>
        <w:numPr>
          <w:ilvl w:val="1"/>
          <w:numId w:val="10"/>
        </w:numPr>
        <w:pBdr/>
        <w:spacing/>
        <w:ind/>
        <w:rPr/>
      </w:pPr>
      <w:r>
        <w:t xml:space="preserve">Обучение персонала</w:t>
      </w:r>
      <w:r/>
    </w:p>
    <w:p>
      <w:pPr>
        <w:pStyle w:val="717"/>
        <w:numPr>
          <w:ilvl w:val="0"/>
          <w:numId w:val="9"/>
        </w:numPr>
        <w:pBdr/>
        <w:spacing/>
        <w:ind/>
        <w:rPr/>
      </w:pPr>
      <w:r>
        <w:rPr>
          <w:b/>
          <w:bCs/>
        </w:rPr>
        <w:t xml:space="preserve">Бюджет</w:t>
      </w:r>
      <w:r>
        <w:t xml:space="preserve">: €100,000-200,000</w:t>
      </w:r>
      <w:r/>
    </w:p>
    <w:p>
      <w:pPr>
        <w:pStyle w:val="717"/>
        <w:numPr>
          <w:ilvl w:val="0"/>
          <w:numId w:val="9"/>
        </w:numPr>
        <w:pBdr/>
        <w:spacing/>
        <w:ind/>
        <w:rPr/>
      </w:pPr>
      <w:r>
        <w:rPr>
          <w:b/>
          <w:bCs/>
        </w:rPr>
        <w:t xml:space="preserve">ROI</w:t>
      </w:r>
      <w:r>
        <w:t xml:space="preserve">: Снижение рисков на €5-10M</w:t>
      </w:r>
      <w:bookmarkEnd w:id="40"/>
      <w:r/>
    </w:p>
    <w:p>
      <w:pPr>
        <w:pStyle w:val="727"/>
        <w:pBdr/>
        <w:spacing/>
        <w:ind/>
        <w:rPr/>
      </w:pPr>
      <w:r/>
      <w:bookmarkStart w:id="41" w:name="сертификация-iso-27001"/>
      <w:r>
        <w:t xml:space="preserve">5. Сертификация ISO 27001</w:t>
      </w:r>
      <w:r/>
    </w:p>
    <w:p>
      <w:pPr>
        <w:pStyle w:val="717"/>
        <w:numPr>
          <w:ilvl w:val="0"/>
          <w:numId w:val="11"/>
        </w:numPr>
        <w:pBdr/>
        <w:spacing/>
        <w:ind/>
        <w:rPr/>
      </w:pPr>
      <w:r>
        <w:rPr>
          <w:b/>
          <w:bCs/>
        </w:rPr>
        <w:t xml:space="preserve">Цель</w:t>
      </w:r>
      <w:r>
        <w:t xml:space="preserve">: Демонстрация клиентам высокого уровня безопасности</w:t>
      </w:r>
      <w:r/>
    </w:p>
    <w:p>
      <w:pPr>
        <w:pStyle w:val="717"/>
        <w:numPr>
          <w:ilvl w:val="0"/>
          <w:numId w:val="11"/>
        </w:numPr>
        <w:pBdr/>
        <w:spacing/>
        <w:ind/>
        <w:rPr/>
      </w:pPr>
      <w:r>
        <w:rPr>
          <w:b/>
          <w:bCs/>
        </w:rPr>
        <w:t xml:space="preserve">Преимущества</w:t>
      </w:r>
      <w:r>
        <w:t xml:space="preserve">:</w:t>
      </w:r>
      <w:r/>
    </w:p>
    <w:p>
      <w:pPr>
        <w:pStyle w:val="717"/>
        <w:numPr>
          <w:ilvl w:val="1"/>
          <w:numId w:val="12"/>
        </w:numPr>
        <w:pBdr/>
        <w:spacing/>
        <w:ind/>
        <w:rPr/>
      </w:pPr>
      <w:r>
        <w:t xml:space="preserve">Конкурентное преимущество при тендерах</w:t>
      </w:r>
      <w:r/>
    </w:p>
    <w:p>
      <w:pPr>
        <w:pStyle w:val="717"/>
        <w:numPr>
          <w:ilvl w:val="1"/>
          <w:numId w:val="12"/>
        </w:numPr>
        <w:pBdr/>
        <w:spacing/>
        <w:ind/>
        <w:rPr/>
      </w:pPr>
      <w:r>
        <w:t xml:space="preserve">Снижение страховых премий на 20-30%</w:t>
      </w:r>
      <w:r/>
    </w:p>
    <w:p>
      <w:pPr>
        <w:pStyle w:val="717"/>
        <w:numPr>
          <w:ilvl w:val="1"/>
          <w:numId w:val="12"/>
        </w:numPr>
        <w:pBdr/>
        <w:spacing/>
        <w:ind/>
        <w:rPr/>
      </w:pPr>
      <w:r>
        <w:t xml:space="preserve">Повышение доверия клиентов</w:t>
      </w:r>
      <w:r/>
    </w:p>
    <w:p>
      <w:pPr>
        <w:pStyle w:val="717"/>
        <w:numPr>
          <w:ilvl w:val="0"/>
          <w:numId w:val="11"/>
        </w:numPr>
        <w:pBdr/>
        <w:spacing/>
        <w:ind/>
        <w:rPr/>
      </w:pPr>
      <w:r>
        <w:rPr>
          <w:b/>
          <w:bCs/>
        </w:rPr>
        <w:t xml:space="preserve">Бюджет</w:t>
      </w:r>
      <w:r>
        <w:t xml:space="preserve">: €50,000-80,000</w:t>
      </w:r>
      <w:r/>
    </w:p>
    <w:p>
      <w:pPr>
        <w:pStyle w:val="717"/>
        <w:numPr>
          <w:ilvl w:val="0"/>
          <w:numId w:val="11"/>
        </w:numPr>
        <w:pBdr/>
        <w:spacing/>
        <w:ind/>
        <w:rPr/>
      </w:pPr>
      <w:r>
        <w:rPr>
          <w:b/>
          <w:bCs/>
        </w:rPr>
        <w:t xml:space="preserve">Срок</w:t>
      </w:r>
      <w:r>
        <w:t xml:space="preserve">: 6-9 месяцев</w:t>
      </w:r>
      <w:bookmarkEnd w:id="41"/>
      <w:bookmarkEnd w:id="42"/>
      <w:bookmarkEnd w:id="43"/>
      <w:r/>
    </w:p>
    <w:p>
      <w:pPr>
        <w:pStyle w:val="725"/>
        <w:pBdr/>
        <w:spacing/>
        <w:ind/>
        <w:rPr/>
      </w:pPr>
      <w:r/>
      <w:bookmarkStart w:id="47" w:name="метрики-и-kpi-для-контроля"/>
      <w:r>
        <w:t xml:space="preserve">Метрики и KPI для контроля</w:t>
      </w:r>
      <w:r/>
    </w:p>
    <w:p>
      <w:pPr>
        <w:pStyle w:val="726"/>
        <w:pBdr/>
        <w:spacing/>
        <w:ind/>
        <w:rPr/>
      </w:pPr>
      <w:r/>
      <w:bookmarkStart w:id="44" w:name="операционные-метрики-ежедневно"/>
      <w:r>
        <w:t xml:space="preserve">Операционные метрики (ежедневно)</w:t>
      </w:r>
      <w:r/>
    </w:p>
    <w:p>
      <w:pPr>
        <w:pStyle w:val="717"/>
        <w:numPr>
          <w:ilvl w:val="0"/>
          <w:numId w:val="13"/>
        </w:numPr>
        <w:pBdr/>
        <w:spacing/>
        <w:ind/>
        <w:rPr/>
      </w:pPr>
      <w:r>
        <w:rPr>
          <w:b/>
          <w:bCs/>
        </w:rPr>
        <w:t xml:space="preserve">Время обнаружения инцидентов</w:t>
      </w:r>
      <w:r>
        <w:t xml:space="preserve">: &lt; 15 минут (цель)</w:t>
      </w:r>
      <w:r/>
    </w:p>
    <w:p>
      <w:pPr>
        <w:pStyle w:val="717"/>
        <w:numPr>
          <w:ilvl w:val="0"/>
          <w:numId w:val="13"/>
        </w:numPr>
        <w:pBdr/>
        <w:spacing/>
        <w:ind/>
        <w:rPr/>
      </w:pPr>
      <w:r>
        <w:rPr>
          <w:b/>
          <w:bCs/>
        </w:rPr>
        <w:t xml:space="preserve">Время реагирования на критические угрозы</w:t>
      </w:r>
      <w:r>
        <w:t xml:space="preserve">: &lt; 1 час</w:t>
      </w:r>
      <w:r/>
    </w:p>
    <w:p>
      <w:pPr>
        <w:pStyle w:val="717"/>
        <w:numPr>
          <w:ilvl w:val="0"/>
          <w:numId w:val="13"/>
        </w:numPr>
        <w:pBdr/>
        <w:spacing/>
        <w:ind/>
        <w:rPr/>
      </w:pPr>
      <w:r>
        <w:rPr>
          <w:b/>
          <w:bCs/>
        </w:rPr>
        <w:t xml:space="preserve">Доступность систем</w:t>
      </w:r>
      <w:r>
        <w:t xml:space="preserve">: &gt; 99.9%</w:t>
      </w:r>
      <w:r/>
    </w:p>
    <w:p>
      <w:pPr>
        <w:pStyle w:val="717"/>
        <w:numPr>
          <w:ilvl w:val="0"/>
          <w:numId w:val="13"/>
        </w:numPr>
        <w:pBdr/>
        <w:spacing/>
        <w:ind/>
        <w:rPr/>
      </w:pPr>
      <w:r>
        <w:rPr>
          <w:b/>
          <w:bCs/>
        </w:rPr>
        <w:t xml:space="preserve">Количество заблокированных атак</w:t>
      </w:r>
      <w:r>
        <w:t xml:space="preserve">: отчет каждые 24 часа</w:t>
      </w:r>
      <w:bookmarkEnd w:id="44"/>
      <w:r/>
    </w:p>
    <w:p>
      <w:pPr>
        <w:pStyle w:val="726"/>
        <w:pBdr/>
        <w:spacing/>
        <w:ind/>
        <w:rPr/>
      </w:pPr>
      <w:r/>
      <w:bookmarkStart w:id="45" w:name="стратегические-метрики-ежемесячно"/>
      <w:r>
        <w:t xml:space="preserve">Стратегические метрики (ежемесячно)</w:t>
      </w:r>
      <w:r/>
    </w:p>
    <w:p>
      <w:pPr>
        <w:pStyle w:val="717"/>
        <w:numPr>
          <w:ilvl w:val="0"/>
          <w:numId w:val="14"/>
        </w:numPr>
        <w:pBdr/>
        <w:spacing/>
        <w:ind/>
        <w:rPr/>
      </w:pPr>
      <w:r>
        <w:rPr>
          <w:b/>
          <w:bCs/>
        </w:rPr>
        <w:t xml:space="preserve">% закрытых критических уязвимостей</w:t>
      </w:r>
      <w:r>
        <w:t xml:space="preserve">: 100% в течение 24 часов</w:t>
      </w:r>
      <w:r/>
    </w:p>
    <w:p>
      <w:pPr>
        <w:pStyle w:val="717"/>
        <w:numPr>
          <w:ilvl w:val="0"/>
          <w:numId w:val="14"/>
        </w:numPr>
        <w:pBdr/>
        <w:spacing/>
        <w:ind/>
        <w:rPr/>
      </w:pPr>
      <w:r>
        <w:rPr>
          <w:b/>
          <w:bCs/>
        </w:rPr>
        <w:t xml:space="preserve">Уровень зрелости безопасности</w:t>
      </w:r>
      <w:r>
        <w:t xml:space="preserve">: прогресс к уровню 4/5</w:t>
      </w:r>
      <w:r/>
    </w:p>
    <w:p>
      <w:pPr>
        <w:pStyle w:val="717"/>
        <w:numPr>
          <w:ilvl w:val="0"/>
          <w:numId w:val="14"/>
        </w:numPr>
        <w:pBdr/>
        <w:spacing/>
        <w:ind/>
        <w:rPr/>
      </w:pPr>
      <w:r>
        <w:rPr>
          <w:b/>
          <w:bCs/>
        </w:rPr>
        <w:t xml:space="preserve">Соответствие регуляторным требованиям</w:t>
      </w:r>
      <w:r>
        <w:t xml:space="preserve">: % выполнения</w:t>
      </w:r>
      <w:r/>
    </w:p>
    <w:p>
      <w:pPr>
        <w:pStyle w:val="717"/>
        <w:numPr>
          <w:ilvl w:val="0"/>
          <w:numId w:val="14"/>
        </w:numPr>
        <w:pBdr/>
        <w:spacing/>
        <w:ind/>
        <w:rPr/>
      </w:pPr>
      <w:r>
        <w:rPr>
          <w:b/>
          <w:bCs/>
        </w:rPr>
        <w:t xml:space="preserve">Инвестиции в безопасность</w:t>
      </w:r>
      <w:r>
        <w:t xml:space="preserve">: % от IT-бюджета (рекомендуется 10-15%)</w:t>
      </w:r>
      <w:bookmarkEnd w:id="45"/>
      <w:r/>
    </w:p>
    <w:p>
      <w:pPr>
        <w:pStyle w:val="726"/>
        <w:pBdr/>
        <w:spacing/>
        <w:ind/>
        <w:rPr/>
      </w:pPr>
      <w:r/>
      <w:bookmarkStart w:id="46" w:name="бизнес-метрики-ежеквартально"/>
      <w:r>
        <w:t xml:space="preserve">Бизнес-метрики (ежеквартально)</w:t>
      </w:r>
      <w:r/>
    </w:p>
    <w:p>
      <w:pPr>
        <w:pStyle w:val="717"/>
        <w:numPr>
          <w:ilvl w:val="0"/>
          <w:numId w:val="15"/>
        </w:numPr>
        <w:pBdr/>
        <w:spacing/>
        <w:ind/>
        <w:rPr/>
      </w:pPr>
      <w:r>
        <w:rPr>
          <w:b/>
          <w:bCs/>
        </w:rPr>
        <w:t xml:space="preserve">Стоимость предотвращенного ущерба</w:t>
      </w:r>
      <w:r>
        <w:t xml:space="preserve">: расчет ROI инвестиций</w:t>
      </w:r>
      <w:r/>
    </w:p>
    <w:p>
      <w:pPr>
        <w:pStyle w:val="717"/>
        <w:numPr>
          <w:ilvl w:val="0"/>
          <w:numId w:val="15"/>
        </w:numPr>
        <w:pBdr/>
        <w:spacing/>
        <w:ind/>
        <w:rPr/>
      </w:pPr>
      <w:r>
        <w:rPr>
          <w:b/>
          <w:bCs/>
        </w:rPr>
        <w:t xml:space="preserve">Индекс доверия клиентов</w:t>
      </w:r>
      <w:r>
        <w:t xml:space="preserve">: опросы и NPS</w:t>
      </w:r>
      <w:r/>
    </w:p>
    <w:p>
      <w:pPr>
        <w:pStyle w:val="717"/>
        <w:numPr>
          <w:ilvl w:val="0"/>
          <w:numId w:val="15"/>
        </w:numPr>
        <w:pBdr/>
        <w:spacing/>
        <w:ind/>
        <w:rPr/>
      </w:pPr>
      <w:r>
        <w:rPr>
          <w:b/>
          <w:bCs/>
        </w:rPr>
        <w:t xml:space="preserve">Скорость получения сертификаций</w:t>
      </w:r>
      <w:r>
        <w:t xml:space="preserve">: прогресс по ISO 27001</w:t>
      </w:r>
      <w:r/>
    </w:p>
    <w:p>
      <w:pPr>
        <w:pStyle w:val="717"/>
        <w:numPr>
          <w:ilvl w:val="0"/>
          <w:numId w:val="15"/>
        </w:numPr>
        <w:pBdr/>
        <w:spacing/>
        <w:ind/>
        <w:rPr/>
      </w:pPr>
      <w:r>
        <w:rPr>
          <w:b/>
          <w:bCs/>
        </w:rPr>
        <w:t xml:space="preserve">Снижение страховых премий</w:t>
      </w:r>
      <w:r>
        <w:t xml:space="preserve">: экономия от улучшения безопасности</w:t>
      </w:r>
      <w:bookmarkEnd w:id="46"/>
      <w:bookmarkEnd w:id="47"/>
      <w:r/>
    </w:p>
    <w:p>
      <w:pPr>
        <w:pStyle w:val="725"/>
        <w:pBdr/>
        <w:spacing/>
        <w:ind/>
        <w:rPr/>
      </w:pPr>
      <w:r/>
      <w:bookmarkStart w:id="50" w:name="бюджет-и-ресурсы"/>
      <w:r>
        <w:t xml:space="preserve">Бюджет и ресурсы</w:t>
      </w:r>
      <w:r/>
    </w:p>
    <w:p>
      <w:pPr>
        <w:pStyle w:val="726"/>
        <w:pBdr/>
        <w:spacing/>
        <w:ind/>
        <w:rPr/>
      </w:pPr>
      <w:r/>
      <w:bookmarkStart w:id="48" w:name="экстренные-инвестиции-0-30-дней"/>
      <w:r>
        <w:t xml:space="preserve">Экстренные инвестиции (0-30 дней)</w:t>
      </w:r>
      <w:r/>
    </w:p>
    <w:tbl>
      <w:tblPr>
        <w:tblStyle w:val="738"/>
        <w:tblW w:w="0" w:type="auto"/>
        <w:tblBorders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Статья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Сумма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Обоснование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Кризисная группа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€10,000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Координация устранения угроз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Экстренный аудит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€40,000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Выявление всех уязвимостей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SOC-сервис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€30,000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Мониторинг 24/7 (годовая подписка)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Консультации экспертов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€15,000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Техническая поддержка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Итого экстренно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€95,000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Предотвращение ущерба €20M+</w:t>
            </w:r>
            <w:bookmarkEnd w:id="48"/>
            <w:r/>
          </w:p>
        </w:tc>
      </w:tr>
    </w:tbl>
    <w:p>
      <w:pPr>
        <w:pStyle w:val="726"/>
        <w:pBdr/>
        <w:spacing/>
        <w:ind/>
        <w:rPr/>
      </w:pPr>
      <w:r/>
      <w:bookmarkStart w:id="49" w:name="стратегические-инвестиции-3-12-месяцев"/>
      <w:r>
        <w:t xml:space="preserve">Стратегические инвестиции (3-12 месяцев)</w:t>
      </w:r>
      <w:r/>
    </w:p>
    <w:tbl>
      <w:tblPr>
        <w:tblStyle w:val="738"/>
        <w:tblW w:w="0" w:type="auto"/>
        <w:tblBorders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Статья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Сумма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ROI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Программа зрелости безопасности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€150,000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Снижение рисков на €8M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ISO 27001 сертификация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€65,000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Конкурентные преимущества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Обучение персонала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€25,000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Снижение человеческого фактора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Автоматизация процессов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€80,000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Экономия операционных расходов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Итого стратегически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€320,000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ROI: 2500%</w:t>
            </w:r>
            <w:bookmarkEnd w:id="49"/>
            <w:bookmarkEnd w:id="50"/>
            <w:r/>
          </w:p>
        </w:tc>
      </w:tr>
    </w:tbl>
    <w:p>
      <w:pPr>
        <w:pStyle w:val="725"/>
        <w:pBdr/>
        <w:spacing/>
        <w:ind/>
        <w:rPr/>
      </w:pPr>
      <w:r/>
      <w:bookmarkStart w:id="53" w:name="конкурентные-преимущества-от-инвестиций"/>
      <w:r>
        <w:t xml:space="preserve">Конкурентные преимущества от инвестиций</w:t>
      </w:r>
      <w:r/>
    </w:p>
    <w:p>
      <w:pPr>
        <w:pStyle w:val="726"/>
        <w:pBdr/>
        <w:spacing/>
        <w:ind/>
        <w:rPr/>
      </w:pPr>
      <w:r/>
      <w:bookmarkStart w:id="51" w:name="краткосрочные-выгоды-1-3-месяца"/>
      <w:r>
        <w:t xml:space="preserve">Краткосрочные выгоды (1-3 месяца)</w:t>
      </w:r>
      <w:r/>
    </w:p>
    <w:p>
      <w:pPr>
        <w:pStyle w:val="717"/>
        <w:numPr>
          <w:ilvl w:val="0"/>
          <w:numId w:val="16"/>
        </w:numPr>
        <w:pBdr/>
        <w:spacing/>
        <w:ind/>
        <w:rPr/>
      </w:pPr>
      <w:r>
        <w:t xml:space="preserve">✅</w:t>
      </w:r>
      <w:r>
        <w:t xml:space="preserve"> </w:t>
      </w:r>
      <w:r>
        <w:rPr>
          <w:b/>
          <w:bCs/>
        </w:rPr>
        <w:t xml:space="preserve">Предотвращение кризиса</w:t>
      </w:r>
      <w:r>
        <w:t xml:space="preserve">: Избежание штрафов и репутационного ущерба</w:t>
      </w:r>
      <w:r/>
    </w:p>
    <w:p>
      <w:pPr>
        <w:pStyle w:val="717"/>
        <w:numPr>
          <w:ilvl w:val="0"/>
          <w:numId w:val="16"/>
        </w:numPr>
        <w:pBdr/>
        <w:spacing/>
        <w:ind/>
        <w:rPr/>
      </w:pPr>
      <w:r>
        <w:t xml:space="preserve">✅</w:t>
      </w:r>
      <w:r>
        <w:t xml:space="preserve"> </w:t>
      </w:r>
      <w:r>
        <w:rPr>
          <w:b/>
          <w:bCs/>
        </w:rPr>
        <w:t xml:space="preserve">Операционная стабильность</w:t>
      </w:r>
      <w:r>
        <w:t xml:space="preserve">: Гарантированная доступность сервисов</w:t>
      </w:r>
      <w:r/>
    </w:p>
    <w:p>
      <w:pPr>
        <w:pStyle w:val="717"/>
        <w:numPr>
          <w:ilvl w:val="0"/>
          <w:numId w:val="16"/>
        </w:numPr>
        <w:pBdr/>
        <w:spacing/>
        <w:ind/>
        <w:rPr/>
      </w:pPr>
      <w:r>
        <w:t xml:space="preserve">✅</w:t>
      </w:r>
      <w:r>
        <w:t xml:space="preserve"> </w:t>
      </w:r>
      <w:r>
        <w:rPr>
          <w:b/>
          <w:bCs/>
        </w:rPr>
        <w:t xml:space="preserve">Соответствие требованиям</w:t>
      </w:r>
      <w:r>
        <w:t xml:space="preserve">: Готовность к регуляторным проверкам</w:t>
      </w:r>
      <w:bookmarkEnd w:id="51"/>
      <w:r/>
    </w:p>
    <w:p>
      <w:pPr>
        <w:pStyle w:val="726"/>
        <w:pBdr/>
        <w:spacing/>
        <w:ind/>
        <w:rPr/>
      </w:pPr>
      <w:r/>
      <w:bookmarkStart w:id="52" w:name="долгосрочные-выгоды-6-12-месяцев"/>
      <w:r>
        <w:t xml:space="preserve">Долгосрочные выгоды (6-12 месяцев)</w:t>
      </w:r>
      <w:r/>
    </w:p>
    <w:p>
      <w:pPr>
        <w:pStyle w:val="717"/>
        <w:numPr>
          <w:ilvl w:val="0"/>
          <w:numId w:val="17"/>
        </w:numPr>
        <w:pBdr/>
        <w:spacing/>
        <w:ind/>
        <w:rPr/>
      </w:pPr>
      <w:r>
        <w:t xml:space="preserve">🏆</w:t>
      </w:r>
      <w:r>
        <w:t xml:space="preserve"> </w:t>
      </w:r>
      <w:r>
        <w:rPr>
          <w:b/>
          <w:bCs/>
        </w:rPr>
        <w:t xml:space="preserve">Лидерство в отрасли</w:t>
      </w:r>
      <w:r>
        <w:t xml:space="preserve">: Демонстрация высочайших стандартов безопасности</w:t>
      </w:r>
      <w:r/>
    </w:p>
    <w:p>
      <w:pPr>
        <w:pStyle w:val="717"/>
        <w:numPr>
          <w:ilvl w:val="0"/>
          <w:numId w:val="17"/>
        </w:numPr>
        <w:pBdr/>
        <w:spacing/>
        <w:ind/>
        <w:rPr/>
      </w:pPr>
      <w:r>
        <w:t xml:space="preserve">💼</w:t>
      </w:r>
      <w:r>
        <w:t xml:space="preserve"> </w:t>
      </w:r>
      <w:r>
        <w:rPr>
          <w:b/>
          <w:bCs/>
        </w:rPr>
        <w:t xml:space="preserve">Новые возможности</w:t>
      </w:r>
      <w:r>
        <w:t xml:space="preserve">: Участие в тендерах с высокими требованиями безопасности</w:t>
      </w:r>
      <w:r/>
    </w:p>
    <w:p>
      <w:pPr>
        <w:pStyle w:val="717"/>
        <w:numPr>
          <w:ilvl w:val="0"/>
          <w:numId w:val="17"/>
        </w:numPr>
        <w:pBdr/>
        <w:spacing/>
        <w:ind/>
        <w:rPr/>
      </w:pPr>
      <w:r>
        <w:t xml:space="preserve">💰</w:t>
      </w:r>
      <w:r>
        <w:t xml:space="preserve"> </w:t>
      </w:r>
      <w:r>
        <w:rPr>
          <w:b/>
          <w:bCs/>
        </w:rPr>
        <w:t xml:space="preserve">Экономия</w:t>
      </w:r>
      <w:r>
        <w:t xml:space="preserve">: Снижение страховых премий и операционных рисков</w:t>
      </w:r>
      <w:r/>
    </w:p>
    <w:p>
      <w:pPr>
        <w:pStyle w:val="717"/>
        <w:numPr>
          <w:ilvl w:val="0"/>
          <w:numId w:val="17"/>
        </w:numPr>
        <w:pBdr/>
        <w:spacing/>
        <w:ind/>
        <w:rPr/>
      </w:pPr>
      <w:r>
        <w:t xml:space="preserve">🤝</w:t>
      </w:r>
      <w:r>
        <w:t xml:space="preserve"> </w:t>
      </w:r>
      <w:r>
        <w:rPr>
          <w:b/>
          <w:bCs/>
        </w:rPr>
        <w:t xml:space="preserve">Доверие клиентов</w:t>
      </w:r>
      <w:r>
        <w:t xml:space="preserve">: Повышение лояльности и привлечение новых клиентов</w:t>
      </w:r>
      <w:bookmarkEnd w:id="52"/>
      <w:bookmarkEnd w:id="53"/>
      <w:r/>
    </w:p>
    <w:p>
      <w:pPr>
        <w:pStyle w:val="725"/>
        <w:pBdr/>
        <w:spacing/>
        <w:ind/>
        <w:rPr/>
      </w:pPr>
      <w:r/>
      <w:bookmarkStart w:id="57" w:name="риски-бездействия"/>
      <w:r>
        <w:t xml:space="preserve">Риски бездействия</w:t>
      </w:r>
      <w:r/>
    </w:p>
    <w:p>
      <w:pPr>
        <w:pStyle w:val="726"/>
        <w:pBdr/>
        <w:spacing/>
        <w:ind/>
        <w:rPr/>
      </w:pPr>
      <w:r/>
      <w:bookmarkStart w:id="54" w:name="сценарий-ничего-не-делаем"/>
      <w:r>
        <w:t xml:space="preserve">Сценарий</w:t>
      </w:r>
      <w:r>
        <w:t xml:space="preserve"> </w:t>
      </w:r>
      <w:r>
        <w:t xml:space="preserve">“</w:t>
      </w:r>
      <w:r>
        <w:t xml:space="preserve">Ничего не делаем</w:t>
      </w:r>
      <w:r>
        <w:t xml:space="preserve">”</w:t>
      </w:r>
      <w:r/>
    </w:p>
    <w:p>
      <w:pPr>
        <w:pStyle w:val="717"/>
        <w:numPr>
          <w:ilvl w:val="0"/>
          <w:numId w:val="18"/>
        </w:numPr>
        <w:pBdr/>
        <w:spacing/>
        <w:ind/>
        <w:rPr/>
      </w:pPr>
      <w:r>
        <w:rPr>
          <w:b/>
          <w:bCs/>
        </w:rPr>
        <w:t xml:space="preserve">Вероятность инцидента</w:t>
      </w:r>
      <w:r>
        <w:t xml:space="preserve">: 85% в течение 6 месяцев</w:t>
      </w:r>
      <w:r/>
    </w:p>
    <w:p>
      <w:pPr>
        <w:pStyle w:val="717"/>
        <w:numPr>
          <w:ilvl w:val="0"/>
          <w:numId w:val="18"/>
        </w:numPr>
        <w:pBdr/>
        <w:spacing/>
        <w:ind/>
        <w:rPr/>
      </w:pPr>
      <w:r>
        <w:rPr>
          <w:b/>
          <w:bCs/>
        </w:rPr>
        <w:t xml:space="preserve">Ожидаемый ущерб</w:t>
      </w:r>
      <w:r>
        <w:t xml:space="preserve">: €15-25M</w:t>
      </w:r>
      <w:r/>
    </w:p>
    <w:p>
      <w:pPr>
        <w:pStyle w:val="717"/>
        <w:numPr>
          <w:ilvl w:val="0"/>
          <w:numId w:val="18"/>
        </w:numPr>
        <w:pBdr/>
        <w:spacing/>
        <w:ind/>
        <w:rPr/>
      </w:pPr>
      <w:r>
        <w:rPr>
          <w:b/>
          <w:bCs/>
        </w:rPr>
        <w:t xml:space="preserve">Репутационные потери</w:t>
      </w:r>
      <w:r>
        <w:t xml:space="preserve">: Необратимые</w:t>
      </w:r>
      <w:r/>
    </w:p>
    <w:p>
      <w:pPr>
        <w:pStyle w:val="717"/>
        <w:numPr>
          <w:ilvl w:val="0"/>
          <w:numId w:val="18"/>
        </w:numPr>
        <w:pBdr/>
        <w:spacing/>
        <w:ind/>
        <w:rPr/>
      </w:pPr>
      <w:r>
        <w:rPr>
          <w:b/>
          <w:bCs/>
        </w:rPr>
        <w:t xml:space="preserve">Регуляторные санкции</w:t>
      </w:r>
      <w:r>
        <w:t xml:space="preserve">: Неизбежные</w:t>
      </w:r>
      <w:bookmarkEnd w:id="54"/>
      <w:r/>
    </w:p>
    <w:p>
      <w:pPr>
        <w:pStyle w:val="726"/>
        <w:pBdr/>
        <w:spacing/>
        <w:ind/>
        <w:rPr/>
      </w:pPr>
      <w:r/>
      <w:bookmarkStart w:id="55" w:name="сценарий-минимальные-действия"/>
      <w:r>
        <w:t xml:space="preserve">Сценарий</w:t>
      </w:r>
      <w:r>
        <w:t xml:space="preserve"> </w:t>
      </w:r>
      <w:r>
        <w:t xml:space="preserve">“</w:t>
      </w:r>
      <w:r>
        <w:t xml:space="preserve">Минимальные действия</w:t>
      </w:r>
      <w:r>
        <w:t xml:space="preserve">”</w:t>
      </w:r>
      <w:r/>
    </w:p>
    <w:p>
      <w:pPr>
        <w:pStyle w:val="717"/>
        <w:numPr>
          <w:ilvl w:val="0"/>
          <w:numId w:val="19"/>
        </w:numPr>
        <w:pBdr/>
        <w:spacing/>
        <w:ind/>
        <w:rPr/>
      </w:pPr>
      <w:r>
        <w:rPr>
          <w:b/>
          <w:bCs/>
        </w:rPr>
        <w:t xml:space="preserve">Вероятность инцидента</w:t>
      </w:r>
      <w:r>
        <w:t xml:space="preserve">: 45% в течение 12 месяцев</w:t>
      </w:r>
      <w:r/>
    </w:p>
    <w:p>
      <w:pPr>
        <w:pStyle w:val="717"/>
        <w:numPr>
          <w:ilvl w:val="0"/>
          <w:numId w:val="19"/>
        </w:numPr>
        <w:pBdr/>
        <w:spacing/>
        <w:ind/>
        <w:rPr/>
      </w:pPr>
      <w:r>
        <w:rPr>
          <w:b/>
          <w:bCs/>
        </w:rPr>
        <w:t xml:space="preserve">Ожидаемый ущерб</w:t>
      </w:r>
      <w:r>
        <w:t xml:space="preserve">: €5-10M</w:t>
      </w:r>
      <w:r/>
    </w:p>
    <w:p>
      <w:pPr>
        <w:pStyle w:val="717"/>
        <w:numPr>
          <w:ilvl w:val="0"/>
          <w:numId w:val="19"/>
        </w:numPr>
        <w:pBdr/>
        <w:spacing/>
        <w:ind/>
        <w:rPr/>
      </w:pPr>
      <w:r>
        <w:rPr>
          <w:b/>
          <w:bCs/>
        </w:rPr>
        <w:t xml:space="preserve">Конкурентные потери</w:t>
      </w:r>
      <w:r>
        <w:t xml:space="preserve">: Значительные</w:t>
      </w:r>
      <w:bookmarkEnd w:id="55"/>
      <w:r/>
    </w:p>
    <w:p>
      <w:pPr>
        <w:pStyle w:val="726"/>
        <w:pBdr/>
        <w:spacing/>
        <w:ind/>
        <w:rPr/>
      </w:pPr>
      <w:r/>
      <w:bookmarkStart w:id="56" w:name="сценарий-полная-программа-безопасности"/>
      <w:r>
        <w:t xml:space="preserve">Сценарий</w:t>
      </w:r>
      <w:r>
        <w:t xml:space="preserve"> </w:t>
      </w:r>
      <w:r>
        <w:t xml:space="preserve">“</w:t>
      </w:r>
      <w:r>
        <w:t xml:space="preserve">Полная программа безопасности</w:t>
      </w:r>
      <w:r>
        <w:t xml:space="preserve">”</w:t>
      </w:r>
      <w:r/>
    </w:p>
    <w:p>
      <w:pPr>
        <w:pStyle w:val="717"/>
        <w:numPr>
          <w:ilvl w:val="0"/>
          <w:numId w:val="20"/>
        </w:numPr>
        <w:pBdr/>
        <w:spacing/>
        <w:ind/>
        <w:rPr/>
      </w:pPr>
      <w:r>
        <w:rPr>
          <w:b/>
          <w:bCs/>
        </w:rPr>
        <w:t xml:space="preserve">Вероятность инцидента</w:t>
      </w:r>
      <w:r>
        <w:t xml:space="preserve">: 5% в течение 12 месяцев</w:t>
      </w:r>
      <w:r/>
    </w:p>
    <w:p>
      <w:pPr>
        <w:pStyle w:val="717"/>
        <w:numPr>
          <w:ilvl w:val="0"/>
          <w:numId w:val="20"/>
        </w:numPr>
        <w:pBdr/>
        <w:spacing/>
        <w:ind/>
        <w:rPr/>
      </w:pPr>
      <w:r>
        <w:rPr>
          <w:b/>
          <w:bCs/>
        </w:rPr>
        <w:t xml:space="preserve">Ожидаемый ущерб</w:t>
      </w:r>
      <w:r>
        <w:t xml:space="preserve">: €100K-500K</w:t>
      </w:r>
      <w:r/>
    </w:p>
    <w:p>
      <w:pPr>
        <w:pStyle w:val="717"/>
        <w:numPr>
          <w:ilvl w:val="0"/>
          <w:numId w:val="20"/>
        </w:numPr>
        <w:pBdr/>
        <w:spacing/>
        <w:ind/>
        <w:rPr/>
      </w:pPr>
      <w:r>
        <w:rPr>
          <w:b/>
          <w:bCs/>
        </w:rPr>
        <w:t xml:space="preserve">Конкурентные преимущества</w:t>
      </w:r>
      <w:r>
        <w:t xml:space="preserve">: Существенные</w:t>
      </w:r>
      <w:bookmarkEnd w:id="56"/>
      <w:bookmarkEnd w:id="57"/>
      <w:r/>
    </w:p>
    <w:p>
      <w:pPr>
        <w:pStyle w:val="725"/>
        <w:pBdr/>
        <w:spacing/>
        <w:ind/>
        <w:rPr/>
      </w:pPr>
      <w:r/>
      <w:bookmarkStart w:id="62" w:name="рекомендуемые-решения-совета-директоров"/>
      <w:r>
        <w:t xml:space="preserve">Рекомендуемые решения Совета директоров</w:t>
      </w:r>
      <w:r/>
    </w:p>
    <w:p>
      <w:pPr>
        <w:pStyle w:val="726"/>
        <w:pBdr/>
        <w:spacing/>
        <w:ind/>
        <w:rPr/>
      </w:pPr>
      <w:r/>
      <w:bookmarkStart w:id="58" w:name="Xa35d3617425f06c72ecb2986178ee0768adfaac"/>
      <w:r>
        <w:t xml:space="preserve">Решение 1: Утвердить экстренный бюджет €95,000</w:t>
      </w:r>
      <w:r/>
    </w:p>
    <w:p>
      <w:pPr>
        <w:pStyle w:val="716"/>
        <w:pBdr/>
        <w:spacing/>
        <w:ind/>
        <w:rPr/>
      </w:pPr>
      <w:r>
        <w:rPr>
          <w:b/>
          <w:bCs/>
        </w:rPr>
        <w:t xml:space="preserve">Цель</w:t>
      </w:r>
      <w:r>
        <w:t xml:space="preserve">: Устранение критических угроз в течение 30 дней</w:t>
      </w:r>
      <w:r>
        <w:t xml:space="preserve"> </w:t>
      </w:r>
      <w:r>
        <w:rPr>
          <w:b/>
          <w:bCs/>
        </w:rPr>
        <w:t xml:space="preserve">Ожидаемый результат</w:t>
      </w:r>
      <w:r>
        <w:t xml:space="preserve">: Снижение рисков с</w:t>
      </w:r>
      <w:r>
        <w:t xml:space="preserve"> </w:t>
      </w:r>
      <w:r>
        <w:t xml:space="preserve">“</w:t>
      </w:r>
      <w:r>
        <w:t xml:space="preserve">критического</w:t>
      </w:r>
      <w:r>
        <w:t xml:space="preserve">”</w:t>
      </w:r>
      <w:r>
        <w:t xml:space="preserve"> </w:t>
      </w:r>
      <w:r>
        <w:t xml:space="preserve">до</w:t>
      </w:r>
      <w:r>
        <w:t xml:space="preserve"> </w:t>
      </w:r>
      <w:r>
        <w:t xml:space="preserve">“</w:t>
      </w:r>
      <w:r>
        <w:t xml:space="preserve">управляемого</w:t>
      </w:r>
      <w:r>
        <w:t xml:space="preserve">”</w:t>
      </w:r>
      <w:r>
        <w:t xml:space="preserve"> </w:t>
      </w:r>
      <w:r>
        <w:t xml:space="preserve">уровня</w:t>
      </w:r>
      <w:bookmarkEnd w:id="58"/>
      <w:r/>
    </w:p>
    <w:p>
      <w:pPr>
        <w:pStyle w:val="726"/>
        <w:pBdr/>
        <w:spacing/>
        <w:ind/>
        <w:rPr/>
      </w:pPr>
      <w:r/>
      <w:bookmarkStart w:id="59" w:name="Xec7a40394b77d8f92c0d53af53b70f1e769c3f3"/>
      <w:r>
        <w:t xml:space="preserve">Решение 2: Назначить ответственного за кибербезопасность</w:t>
      </w:r>
      <w:r/>
    </w:p>
    <w:p>
      <w:pPr>
        <w:pStyle w:val="716"/>
        <w:pBdr/>
        <w:spacing/>
        <w:ind/>
        <w:rPr/>
      </w:pPr>
      <w:r>
        <w:rPr>
          <w:b/>
          <w:bCs/>
        </w:rPr>
        <w:t xml:space="preserve">Позиция</w:t>
      </w:r>
      <w:r>
        <w:t xml:space="preserve">: CISO (Chief Information Security Officer) или внешний консультант</w:t>
      </w:r>
      <w:r>
        <w:t xml:space="preserve"> </w:t>
      </w:r>
      <w:r>
        <w:rPr>
          <w:b/>
          <w:bCs/>
        </w:rPr>
        <w:t xml:space="preserve">Бюджет</w:t>
      </w:r>
      <w:r>
        <w:t xml:space="preserve">: €80,000-120,000/год</w:t>
      </w:r>
      <w:r>
        <w:t xml:space="preserve"> </w:t>
      </w:r>
      <w:r>
        <w:rPr>
          <w:b/>
          <w:bCs/>
        </w:rPr>
        <w:t xml:space="preserve">Задача</w:t>
      </w:r>
      <w:r>
        <w:t xml:space="preserve">: Координация всех инициатив по безопасности</w:t>
      </w:r>
      <w:bookmarkEnd w:id="59"/>
      <w:r/>
    </w:p>
    <w:p>
      <w:pPr>
        <w:pStyle w:val="726"/>
        <w:pBdr/>
        <w:spacing/>
        <w:ind/>
        <w:rPr/>
      </w:pPr>
      <w:r/>
      <w:bookmarkStart w:id="60" w:name="Xdc648bc9f7d5d72156eecdd2c1d8638d04d5211"/>
      <w:r>
        <w:t xml:space="preserve">Решение 3: Одобрить стратегическую программу безопасности</w:t>
      </w:r>
      <w:r/>
    </w:p>
    <w:p>
      <w:pPr>
        <w:pStyle w:val="716"/>
        <w:pBdr/>
        <w:spacing/>
        <w:ind/>
        <w:rPr/>
      </w:pPr>
      <w:r>
        <w:rPr>
          <w:b/>
          <w:bCs/>
        </w:rPr>
        <w:t xml:space="preserve">Бюджет</w:t>
      </w:r>
      <w:r>
        <w:t xml:space="preserve">: €320,000 на 12 месяцев</w:t>
      </w:r>
      <w:r>
        <w:t xml:space="preserve"> </w:t>
      </w:r>
      <w:r>
        <w:rPr>
          <w:b/>
          <w:bCs/>
        </w:rPr>
        <w:t xml:space="preserve">Цель</w:t>
      </w:r>
      <w:r>
        <w:t xml:space="preserve">: Достижение лидирующих позиций в отрасли по безопасности</w:t>
      </w:r>
      <w:r>
        <w:t xml:space="preserve"> </w:t>
      </w:r>
      <w:r>
        <w:rPr>
          <w:b/>
          <w:bCs/>
        </w:rPr>
        <w:t xml:space="preserve">ROI</w:t>
      </w:r>
      <w:r>
        <w:t xml:space="preserve">: 2500% (предотвращение ущерба €8M+)</w:t>
      </w:r>
      <w:bookmarkEnd w:id="60"/>
      <w:r/>
    </w:p>
    <w:p>
      <w:pPr>
        <w:pStyle w:val="726"/>
        <w:pBdr/>
        <w:spacing/>
        <w:ind/>
        <w:rPr/>
      </w:pPr>
      <w:r/>
      <w:bookmarkStart w:id="61" w:name="Xe77c818599698342736f0f2936d0b6c2879f46a"/>
      <w:r>
        <w:t xml:space="preserve">Решение 4: Включить кибербезопасность в стратегию компании</w:t>
      </w:r>
      <w:r/>
    </w:p>
    <w:p>
      <w:pPr>
        <w:pStyle w:val="716"/>
        <w:pBdr/>
        <w:spacing/>
        <w:ind/>
        <w:rPr/>
      </w:pPr>
      <w:r>
        <w:rPr>
          <w:b/>
          <w:bCs/>
        </w:rPr>
        <w:t xml:space="preserve">Действие</w:t>
      </w:r>
      <w:r>
        <w:t xml:space="preserve">: Добавить безопасность как ключевой элемент корпоративной стратегии</w:t>
      </w:r>
      <w:r>
        <w:t xml:space="preserve"> </w:t>
      </w:r>
      <w:r>
        <w:rPr>
          <w:b/>
          <w:bCs/>
        </w:rPr>
        <w:t xml:space="preserve">Цель</w:t>
      </w:r>
      <w:r>
        <w:t xml:space="preserve">: Превратить безопасность из</w:t>
      </w:r>
      <w:r>
        <w:t xml:space="preserve"> </w:t>
      </w:r>
      <w:r>
        <w:t xml:space="preserve">“</w:t>
      </w:r>
      <w:r>
        <w:t xml:space="preserve">расходов</w:t>
      </w:r>
      <w:r>
        <w:t xml:space="preserve">”</w:t>
      </w:r>
      <w:r>
        <w:t xml:space="preserve"> </w:t>
      </w:r>
      <w:r>
        <w:t xml:space="preserve">в</w:t>
      </w:r>
      <w:r>
        <w:t xml:space="preserve"> </w:t>
      </w:r>
      <w:r>
        <w:t xml:space="preserve">“</w:t>
      </w:r>
      <w:r>
        <w:t xml:space="preserve">конкурентное преимущество</w:t>
      </w:r>
      <w:r>
        <w:t xml:space="preserve">”</w:t>
      </w:r>
      <w:bookmarkEnd w:id="61"/>
      <w:bookmarkEnd w:id="62"/>
      <w:r/>
    </w:p>
    <w:p>
      <w:pPr>
        <w:pStyle w:val="725"/>
        <w:pBdr/>
        <w:spacing/>
        <w:ind/>
        <w:rPr/>
      </w:pPr>
      <w:r/>
      <w:bookmarkStart w:id="66" w:name="следующие-шаги"/>
      <w:r>
        <w:t xml:space="preserve">Следующие шаги</w:t>
      </w:r>
      <w:r/>
    </w:p>
    <w:p>
      <w:pPr>
        <w:pStyle w:val="726"/>
        <w:pBdr/>
        <w:spacing/>
        <w:ind/>
        <w:rPr/>
      </w:pPr>
      <w:r/>
      <w:bookmarkStart w:id="63" w:name="немедленно-сегодня"/>
      <w:r>
        <w:t xml:space="preserve">Немедленно (сегодня)</w:t>
      </w:r>
      <w:r/>
    </w:p>
    <w:p>
      <w:pPr>
        <w:pStyle w:val="717"/>
        <w:numPr>
          <w:ilvl w:val="0"/>
          <w:numId w:val="21"/>
        </w:numPr>
        <w:pBdr/>
        <w:spacing/>
        <w:ind/>
        <w:rPr/>
      </w:pPr>
      <w:r>
        <w:t xml:space="preserve">✅</w:t>
      </w:r>
      <w:r>
        <w:t xml:space="preserve"> </w:t>
      </w:r>
      <w:r>
        <w:rPr>
          <w:b/>
          <w:bCs/>
        </w:rPr>
        <w:t xml:space="preserve">Утвердить экстренный бюджет</w:t>
      </w:r>
      <w:r>
        <w:t xml:space="preserve"> </w:t>
      </w:r>
      <w:r>
        <w:t xml:space="preserve">- решение CEO</w:t>
      </w:r>
      <w:r/>
    </w:p>
    <w:p>
      <w:pPr>
        <w:pStyle w:val="717"/>
        <w:numPr>
          <w:ilvl w:val="0"/>
          <w:numId w:val="21"/>
        </w:numPr>
        <w:pBdr/>
        <w:spacing/>
        <w:ind/>
        <w:rPr/>
      </w:pPr>
      <w:r>
        <w:t xml:space="preserve">✅</w:t>
      </w:r>
      <w:r>
        <w:t xml:space="preserve"> </w:t>
      </w:r>
      <w:r>
        <w:rPr>
          <w:b/>
          <w:bCs/>
        </w:rPr>
        <w:t xml:space="preserve">Создать кризисную группу</w:t>
      </w:r>
      <w:r>
        <w:t xml:space="preserve"> </w:t>
      </w:r>
      <w:r>
        <w:t xml:space="preserve">- назначить ответственных</w:t>
      </w:r>
      <w:r/>
    </w:p>
    <w:p>
      <w:pPr>
        <w:pStyle w:val="717"/>
        <w:numPr>
          <w:ilvl w:val="0"/>
          <w:numId w:val="21"/>
        </w:numPr>
        <w:pBdr/>
        <w:spacing/>
        <w:ind/>
        <w:rPr/>
      </w:pPr>
      <w:r>
        <w:t xml:space="preserve">✅</w:t>
      </w:r>
      <w:r>
        <w:t xml:space="preserve"> </w:t>
      </w:r>
      <w:r>
        <w:rPr>
          <w:b/>
          <w:bCs/>
        </w:rPr>
        <w:t xml:space="preserve">Начать устранение критических уязвимостей</w:t>
      </w:r>
      <w:r>
        <w:t xml:space="preserve"> </w:t>
      </w:r>
      <w:r>
        <w:t xml:space="preserve">- техническая команда</w:t>
      </w:r>
      <w:bookmarkEnd w:id="63"/>
      <w:r/>
    </w:p>
    <w:p>
      <w:pPr>
        <w:pStyle w:val="726"/>
        <w:pBdr/>
        <w:spacing/>
        <w:ind/>
        <w:rPr/>
      </w:pPr>
      <w:r/>
      <w:bookmarkStart w:id="64" w:name="на-этой-неделе"/>
      <w:r>
        <w:t xml:space="preserve">На этой неделе</w:t>
      </w:r>
      <w:r/>
    </w:p>
    <w:p>
      <w:pPr>
        <w:pStyle w:val="717"/>
        <w:numPr>
          <w:ilvl w:val="0"/>
          <w:numId w:val="22"/>
        </w:numPr>
        <w:pBdr/>
        <w:spacing/>
        <w:ind/>
        <w:rPr/>
      </w:pPr>
      <w:r>
        <w:t xml:space="preserve">📋</w:t>
      </w:r>
      <w:r>
        <w:t xml:space="preserve"> </w:t>
      </w:r>
      <w:r>
        <w:rPr>
          <w:b/>
          <w:bCs/>
        </w:rPr>
        <w:t xml:space="preserve">Заключить контракт с SOC-провайдером</w:t>
      </w:r>
      <w:r>
        <w:t xml:space="preserve"> </w:t>
      </w:r>
      <w:r>
        <w:t xml:space="preserve">- обеспечить мониторинг 24/7</w:t>
      </w:r>
      <w:r/>
    </w:p>
    <w:p>
      <w:pPr>
        <w:pStyle w:val="717"/>
        <w:numPr>
          <w:ilvl w:val="0"/>
          <w:numId w:val="22"/>
        </w:numPr>
        <w:pBdr/>
        <w:spacing/>
        <w:ind/>
        <w:rPr/>
      </w:pPr>
      <w:r>
        <w:t xml:space="preserve">🔍</w:t>
      </w:r>
      <w:r>
        <w:t xml:space="preserve"> </w:t>
      </w:r>
      <w:r>
        <w:rPr>
          <w:b/>
          <w:bCs/>
        </w:rPr>
        <w:t xml:space="preserve">Запустить полный аудит безопасности</w:t>
      </w:r>
      <w:r>
        <w:t xml:space="preserve"> </w:t>
      </w:r>
      <w:r>
        <w:t xml:space="preserve">- найти все уязвимости</w:t>
      </w:r>
      <w:r/>
    </w:p>
    <w:p>
      <w:pPr>
        <w:pStyle w:val="717"/>
        <w:numPr>
          <w:ilvl w:val="0"/>
          <w:numId w:val="22"/>
        </w:numPr>
        <w:pBdr/>
        <w:spacing/>
        <w:ind/>
        <w:rPr/>
      </w:pPr>
      <w:r>
        <w:t xml:space="preserve">📢</w:t>
      </w:r>
      <w:r>
        <w:t xml:space="preserve"> </w:t>
      </w:r>
      <w:r>
        <w:rPr>
          <w:b/>
          <w:bCs/>
        </w:rPr>
        <w:t xml:space="preserve">Подготовить коммуникационную стратегию</w:t>
      </w:r>
      <w:r>
        <w:t xml:space="preserve"> </w:t>
      </w:r>
      <w:r>
        <w:t xml:space="preserve">- на случай инцидента</w:t>
      </w:r>
      <w:bookmarkEnd w:id="64"/>
      <w:r/>
    </w:p>
    <w:p>
      <w:pPr>
        <w:pStyle w:val="726"/>
        <w:pBdr/>
        <w:spacing/>
        <w:ind/>
        <w:rPr/>
      </w:pPr>
      <w:r/>
      <w:bookmarkStart w:id="65" w:name="в-течение-месяца"/>
      <w:r>
        <w:t xml:space="preserve">В течение месяца</w:t>
      </w:r>
      <w:r/>
    </w:p>
    <w:p>
      <w:pPr>
        <w:pStyle w:val="717"/>
        <w:numPr>
          <w:ilvl w:val="0"/>
          <w:numId w:val="23"/>
        </w:numPr>
        <w:pBdr/>
        <w:spacing/>
        <w:ind/>
        <w:rPr/>
      </w:pPr>
      <w:r>
        <w:t xml:space="preserve">🎯</w:t>
      </w:r>
      <w:r>
        <w:t xml:space="preserve"> </w:t>
      </w:r>
      <w:r>
        <w:rPr>
          <w:b/>
          <w:bCs/>
        </w:rPr>
        <w:t xml:space="preserve">Внедрить все экстренные меры</w:t>
      </w:r>
      <w:r>
        <w:t xml:space="preserve"> </w:t>
      </w:r>
      <w:r>
        <w:t xml:space="preserve">- закрыть критические уязвимости</w:t>
      </w:r>
      <w:r/>
    </w:p>
    <w:p>
      <w:pPr>
        <w:pStyle w:val="717"/>
        <w:numPr>
          <w:ilvl w:val="0"/>
          <w:numId w:val="23"/>
        </w:numPr>
        <w:pBdr/>
        <w:spacing/>
        <w:ind/>
        <w:rPr/>
      </w:pPr>
      <w:r>
        <w:t xml:space="preserve">📊</w:t>
      </w:r>
      <w:r>
        <w:t xml:space="preserve"> </w:t>
      </w:r>
      <w:r>
        <w:rPr>
          <w:b/>
          <w:bCs/>
        </w:rPr>
        <w:t xml:space="preserve">Оценить эффективность</w:t>
      </w:r>
      <w:r>
        <w:t xml:space="preserve"> </w:t>
      </w:r>
      <w:r>
        <w:t xml:space="preserve">- измерить снижение рисков</w:t>
      </w:r>
      <w:r/>
    </w:p>
    <w:p>
      <w:pPr>
        <w:pStyle w:val="717"/>
        <w:numPr>
          <w:ilvl w:val="0"/>
          <w:numId w:val="23"/>
        </w:numPr>
        <w:pBdr/>
        <w:spacing/>
        <w:ind/>
        <w:rPr/>
      </w:pPr>
      <w:r>
        <w:t xml:space="preserve">🚀</w:t>
      </w:r>
      <w:r>
        <w:t xml:space="preserve"> </w:t>
      </w:r>
      <w:r>
        <w:rPr>
          <w:b/>
          <w:bCs/>
        </w:rPr>
        <w:t xml:space="preserve">Запустить стратегическую программу</w:t>
      </w:r>
      <w:r>
        <w:t xml:space="preserve"> </w:t>
      </w:r>
      <w:r>
        <w:t xml:space="preserve">- долгосрочное развитие безопасности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Style w:val="716"/>
        <w:pBdr/>
        <w:spacing/>
        <w:ind/>
        <w:rPr/>
      </w:pPr>
      <w:r>
        <w:rPr>
          <w:b/>
          <w:bCs/>
        </w:rPr>
        <w:t xml:space="preserve">Заключение</w:t>
      </w:r>
      <w:r>
        <w:t xml:space="preserve">: Инвестиции в кибербезопасность сегодня - это не расходы, а страховка от катастрофических потерь завтра. При правильном подходе безопасность станет конкурентным преимуществом и источником новых возможностей для бизнеса.</w:t>
      </w:r>
      <w:r/>
    </w:p>
    <w:p>
      <w:pPr>
        <w:pStyle w:val="715"/>
        <w:pBdr/>
        <w:spacing/>
        <w:ind/>
        <w:rPr/>
      </w:pPr>
      <w:r>
        <w:rPr>
          <w:i/>
          <w:iCs/>
        </w:rPr>
        <w:t xml:space="preserve">Подготовлено в соответствии с лучшими практиками корпоративного управления рисками и международными стандартами кибербезопасности.</w:t>
      </w:r>
      <w:bookmarkEnd w:id="65"/>
      <w:bookmarkEnd w:id="66"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20202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1">
    <w:nsid w:val="0000A991"/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2">
    <w:nsid w:val="00A99411"/>
    <w:lvl w:ilvl="0">
      <w:isLgl w:val="false"/>
      <w:lvlJc w:val="left"/>
      <w:lvlText w:val="%1."/>
      <w:numFmt w:val="decimal"/>
      <w:pPr>
        <w:pBdr/>
        <w:spacing/>
        <w:ind w:hanging="48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48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4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8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48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4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8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48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4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737"/>
    <w:link w:val="7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37"/>
    <w:link w:val="7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37"/>
    <w:link w:val="7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37"/>
    <w:link w:val="72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37"/>
    <w:link w:val="7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37"/>
    <w:link w:val="73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37"/>
    <w:link w:val="73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37"/>
    <w:link w:val="7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37"/>
    <w:link w:val="7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37"/>
    <w:link w:val="7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37"/>
    <w:link w:val="7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14"/>
    <w:next w:val="71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3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1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3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14"/>
    <w:next w:val="71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3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3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1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3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3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3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3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3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1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37"/>
    <w:link w:val="176"/>
    <w:uiPriority w:val="99"/>
    <w:pPr>
      <w:pBdr/>
      <w:spacing/>
      <w:ind/>
    </w:pPr>
  </w:style>
  <w:style w:type="paragraph" w:styleId="178">
    <w:name w:val="Footer"/>
    <w:basedOn w:val="71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37"/>
    <w:link w:val="178"/>
    <w:uiPriority w:val="99"/>
    <w:pPr>
      <w:pBdr/>
      <w:spacing/>
      <w:ind/>
    </w:pPr>
  </w:style>
  <w:style w:type="character" w:styleId="182">
    <w:name w:val="Footnote Text Char"/>
    <w:basedOn w:val="737"/>
    <w:link w:val="735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71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3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37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3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14"/>
    <w:next w:val="714"/>
    <w:uiPriority w:val="39"/>
    <w:unhideWhenUsed/>
    <w:pPr>
      <w:pBdr/>
      <w:spacing w:after="100"/>
      <w:ind/>
    </w:pPr>
  </w:style>
  <w:style w:type="paragraph" w:styleId="190">
    <w:name w:val="toc 2"/>
    <w:basedOn w:val="714"/>
    <w:next w:val="714"/>
    <w:uiPriority w:val="39"/>
    <w:unhideWhenUsed/>
    <w:pPr>
      <w:pBdr/>
      <w:spacing w:after="100"/>
      <w:ind w:left="220"/>
    </w:pPr>
  </w:style>
  <w:style w:type="paragraph" w:styleId="191">
    <w:name w:val="toc 3"/>
    <w:basedOn w:val="714"/>
    <w:next w:val="714"/>
    <w:uiPriority w:val="39"/>
    <w:unhideWhenUsed/>
    <w:pPr>
      <w:pBdr/>
      <w:spacing w:after="100"/>
      <w:ind w:left="440"/>
    </w:pPr>
  </w:style>
  <w:style w:type="paragraph" w:styleId="192">
    <w:name w:val="toc 4"/>
    <w:basedOn w:val="714"/>
    <w:next w:val="714"/>
    <w:uiPriority w:val="39"/>
    <w:unhideWhenUsed/>
    <w:pPr>
      <w:pBdr/>
      <w:spacing w:after="100"/>
      <w:ind w:left="660"/>
    </w:pPr>
  </w:style>
  <w:style w:type="paragraph" w:styleId="193">
    <w:name w:val="toc 5"/>
    <w:basedOn w:val="714"/>
    <w:next w:val="714"/>
    <w:uiPriority w:val="39"/>
    <w:unhideWhenUsed/>
    <w:pPr>
      <w:pBdr/>
      <w:spacing w:after="100"/>
      <w:ind w:left="880"/>
    </w:pPr>
  </w:style>
  <w:style w:type="paragraph" w:styleId="194">
    <w:name w:val="toc 6"/>
    <w:basedOn w:val="714"/>
    <w:next w:val="714"/>
    <w:uiPriority w:val="39"/>
    <w:unhideWhenUsed/>
    <w:pPr>
      <w:pBdr/>
      <w:spacing w:after="100"/>
      <w:ind w:left="1100"/>
    </w:pPr>
  </w:style>
  <w:style w:type="paragraph" w:styleId="195">
    <w:name w:val="toc 7"/>
    <w:basedOn w:val="714"/>
    <w:next w:val="714"/>
    <w:uiPriority w:val="39"/>
    <w:unhideWhenUsed/>
    <w:pPr>
      <w:pBdr/>
      <w:spacing w:after="100"/>
      <w:ind w:left="1320"/>
    </w:pPr>
  </w:style>
  <w:style w:type="paragraph" w:styleId="196">
    <w:name w:val="toc 8"/>
    <w:basedOn w:val="714"/>
    <w:next w:val="714"/>
    <w:uiPriority w:val="39"/>
    <w:unhideWhenUsed/>
    <w:pPr>
      <w:pBdr/>
      <w:spacing w:after="100"/>
      <w:ind w:left="1540"/>
    </w:pPr>
  </w:style>
  <w:style w:type="paragraph" w:styleId="197">
    <w:name w:val="toc 9"/>
    <w:basedOn w:val="714"/>
    <w:next w:val="71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3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14"/>
    <w:next w:val="714"/>
    <w:uiPriority w:val="99"/>
    <w:unhideWhenUsed/>
    <w:pPr>
      <w:pBdr/>
      <w:spacing w:after="0" w:afterAutospacing="0"/>
      <w:ind/>
    </w:pPr>
  </w:style>
  <w:style w:type="paragraph" w:styleId="714" w:default="1">
    <w:name w:val="Normal"/>
    <w:qFormat/>
    <w:pPr>
      <w:pBdr/>
      <w:spacing/>
      <w:ind/>
    </w:pPr>
  </w:style>
  <w:style w:type="paragraph" w:styleId="715">
    <w:name w:val="Body Text"/>
    <w:basedOn w:val="714"/>
    <w:link w:val="746"/>
    <w:qFormat/>
    <w:pPr>
      <w:pBdr/>
      <w:spacing w:after="180" w:before="180"/>
      <w:ind/>
    </w:pPr>
  </w:style>
  <w:style w:type="paragraph" w:styleId="716" w:customStyle="1">
    <w:name w:val="First Paragraph"/>
    <w:basedOn w:val="715"/>
    <w:next w:val="715"/>
    <w:qFormat/>
    <w:pPr>
      <w:pBdr/>
      <w:spacing/>
      <w:ind/>
    </w:pPr>
  </w:style>
  <w:style w:type="paragraph" w:styleId="717" w:customStyle="1">
    <w:name w:val="Compact"/>
    <w:basedOn w:val="715"/>
    <w:qFormat/>
    <w:pPr>
      <w:pBdr/>
      <w:spacing w:after="36" w:before="36"/>
      <w:ind/>
    </w:pPr>
  </w:style>
  <w:style w:type="paragraph" w:styleId="718">
    <w:name w:val="Title"/>
    <w:basedOn w:val="714"/>
    <w:next w:val="715"/>
    <w:qFormat/>
    <w:pPr>
      <w:keepNext w:val="true"/>
      <w:keepLines w:val="true"/>
      <w:pBdr/>
      <w:spacing w:after="240" w:before="480"/>
      <w:ind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719">
    <w:name w:val="Subtitle"/>
    <w:basedOn w:val="718"/>
    <w:next w:val="715"/>
    <w:qFormat/>
    <w:pPr>
      <w:keepNext w:val="true"/>
      <w:keepLines w:val="true"/>
      <w:pBdr/>
      <w:spacing w:after="240" w:before="240"/>
      <w:ind/>
      <w:jc w:val="center"/>
    </w:pPr>
    <w:rPr>
      <w:sz w:val="30"/>
      <w:szCs w:val="30"/>
    </w:rPr>
  </w:style>
  <w:style w:type="paragraph" w:styleId="720" w:customStyle="1">
    <w:name w:val="Author"/>
    <w:next w:val="715"/>
    <w:qFormat/>
    <w:pPr>
      <w:keepNext w:val="true"/>
      <w:keepLines w:val="true"/>
      <w:pBdr/>
      <w:spacing/>
      <w:ind/>
      <w:jc w:val="center"/>
    </w:pPr>
  </w:style>
  <w:style w:type="paragraph" w:styleId="721">
    <w:name w:val="Date"/>
    <w:next w:val="715"/>
    <w:qFormat/>
    <w:pPr>
      <w:keepNext w:val="true"/>
      <w:keepLines w:val="true"/>
      <w:pBdr/>
      <w:spacing/>
      <w:ind/>
      <w:jc w:val="center"/>
    </w:pPr>
  </w:style>
  <w:style w:type="paragraph" w:styleId="722" w:customStyle="1">
    <w:name w:val="Abstract Title"/>
    <w:basedOn w:val="714"/>
    <w:next w:val="723"/>
    <w:qFormat/>
    <w:pPr>
      <w:keepNext w:val="true"/>
      <w:keepLines w:val="true"/>
      <w:pBdr/>
      <w:spacing w:after="0" w:before="300"/>
      <w:ind/>
      <w:jc w:val="center"/>
    </w:pPr>
    <w:rPr>
      <w:b/>
      <w:color w:val="345a8a"/>
      <w:sz w:val="20"/>
      <w:szCs w:val="20"/>
    </w:rPr>
  </w:style>
  <w:style w:type="paragraph" w:styleId="723" w:customStyle="1">
    <w:name w:val="Abstract"/>
    <w:basedOn w:val="714"/>
    <w:next w:val="715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724">
    <w:name w:val="Bibliography"/>
    <w:basedOn w:val="714"/>
    <w:next w:val="724"/>
    <w:qFormat/>
    <w:pPr>
      <w:pBdr/>
      <w:spacing/>
      <w:ind/>
    </w:pPr>
  </w:style>
  <w:style w:type="paragraph" w:styleId="725">
    <w:name w:val="Heading 1"/>
    <w:basedOn w:val="714"/>
    <w:next w:val="7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726">
    <w:name w:val="Heading 2"/>
    <w:basedOn w:val="714"/>
    <w:next w:val="715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727">
    <w:name w:val="Heading 3"/>
    <w:basedOn w:val="714"/>
    <w:next w:val="715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728">
    <w:name w:val="Heading 4"/>
    <w:basedOn w:val="714"/>
    <w:next w:val="715"/>
    <w:uiPriority w:val="9"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29">
    <w:name w:val="Heading 5"/>
    <w:basedOn w:val="714"/>
    <w:next w:val="715"/>
    <w:uiPriority w:val="9"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730">
    <w:name w:val="Heading 6"/>
    <w:basedOn w:val="714"/>
    <w:next w:val="715"/>
    <w:uiPriority w:val="9"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31">
    <w:name w:val="Heading 7"/>
    <w:basedOn w:val="714"/>
    <w:next w:val="715"/>
    <w:uiPriority w:val="9"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32">
    <w:name w:val="Heading 8"/>
    <w:basedOn w:val="714"/>
    <w:next w:val="715"/>
    <w:uiPriority w:val="9"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33">
    <w:name w:val="Heading 9"/>
    <w:basedOn w:val="714"/>
    <w:next w:val="715"/>
    <w:uiPriority w:val="9"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34">
    <w:name w:val="Block Text"/>
    <w:basedOn w:val="715"/>
    <w:next w:val="715"/>
    <w:uiPriority w:val="9"/>
    <w:unhideWhenUsed/>
    <w:qFormat/>
    <w:pPr>
      <w:pBdr/>
      <w:spacing w:after="100" w:before="100"/>
      <w:ind w:right="480" w:firstLine="0" w:left="480"/>
    </w:pPr>
  </w:style>
  <w:style w:type="paragraph" w:styleId="735">
    <w:name w:val="footnote text"/>
    <w:basedOn w:val="714"/>
    <w:next w:val="735"/>
    <w:uiPriority w:val="9"/>
    <w:unhideWhenUsed/>
    <w:qFormat/>
    <w:pPr>
      <w:pBdr/>
      <w:spacing/>
      <w:ind/>
    </w:pPr>
  </w:style>
  <w:style w:type="paragraph" w:styleId="736">
    <w:name w:val="Footnote Block Text"/>
    <w:uiPriority w:val="9"/>
    <w:unhideWhenUsed/>
    <w:qFormat/>
    <w:pPr>
      <w:pBdr/>
      <w:spacing w:after="100" w:before="100"/>
      <w:ind w:right="480" w:firstLine="0" w:left="480"/>
    </w:pPr>
  </w:style>
  <w:style w:type="character" w:styleId="737" w:default="1">
    <w:name w:val="Default Paragraph Font"/>
    <w:semiHidden/>
    <w:unhideWhenUsed/>
    <w:pPr>
      <w:pBdr/>
      <w:spacing/>
      <w:ind/>
    </w:pPr>
  </w:style>
  <w:style w:type="table" w:styleId="738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Ind w:w="0" w:type="dxa"/>
        <w:tblBorders/>
      </w:tblPr>
      <w:trPr>
        <w:jc w:val="left"/>
      </w:tr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39" w:customStyle="1">
    <w:name w:val="Definition Term"/>
    <w:basedOn w:val="714"/>
    <w:next w:val="740"/>
    <w:pPr>
      <w:keepNext w:val="true"/>
      <w:keepLines w:val="true"/>
      <w:pBdr/>
      <w:spacing w:after="0"/>
      <w:ind/>
    </w:pPr>
    <w:rPr>
      <w:b/>
    </w:rPr>
  </w:style>
  <w:style w:type="paragraph" w:styleId="740" w:customStyle="1">
    <w:name w:val="Definition"/>
    <w:basedOn w:val="714"/>
    <w:pPr>
      <w:pBdr/>
      <w:spacing/>
      <w:ind/>
    </w:pPr>
  </w:style>
  <w:style w:type="paragraph" w:styleId="741">
    <w:name w:val="Caption"/>
    <w:basedOn w:val="714"/>
    <w:link w:val="746"/>
    <w:pPr>
      <w:pBdr/>
      <w:spacing w:after="120" w:before="0"/>
      <w:ind/>
    </w:pPr>
    <w:rPr>
      <w:i/>
    </w:rPr>
  </w:style>
  <w:style w:type="paragraph" w:styleId="742" w:customStyle="1">
    <w:name w:val="Table Caption"/>
    <w:basedOn w:val="741"/>
    <w:pPr>
      <w:keepNext w:val="true"/>
      <w:pBdr/>
      <w:spacing/>
      <w:ind/>
    </w:pPr>
  </w:style>
  <w:style w:type="paragraph" w:styleId="743" w:customStyle="1">
    <w:name w:val="Image Caption"/>
    <w:basedOn w:val="741"/>
    <w:pPr>
      <w:pBdr/>
      <w:spacing/>
      <w:ind/>
    </w:pPr>
  </w:style>
  <w:style w:type="paragraph" w:styleId="744" w:customStyle="1">
    <w:name w:val="Figure"/>
    <w:basedOn w:val="714"/>
    <w:pPr>
      <w:pBdr/>
      <w:spacing/>
      <w:ind/>
    </w:pPr>
  </w:style>
  <w:style w:type="paragraph" w:styleId="745" w:customStyle="1">
    <w:name w:val="Captioned Figure"/>
    <w:basedOn w:val="744"/>
    <w:pPr>
      <w:keepNext w:val="true"/>
      <w:pBdr/>
      <w:spacing/>
      <w:ind/>
    </w:pPr>
  </w:style>
  <w:style w:type="character" w:styleId="746" w:customStyle="1">
    <w:name w:val="Body Text Char"/>
    <w:basedOn w:val="737"/>
    <w:link w:val="715"/>
    <w:pPr>
      <w:pBdr/>
      <w:spacing/>
      <w:ind/>
    </w:pPr>
  </w:style>
  <w:style w:type="character" w:styleId="747" w:customStyle="1">
    <w:name w:val="Verbatim Char"/>
    <w:basedOn w:val="746"/>
    <w:pPr>
      <w:pBdr/>
      <w:spacing/>
      <w:ind/>
    </w:pPr>
    <w:rPr>
      <w:rFonts w:ascii="Consolas" w:hAnsi="Consolas"/>
      <w:sz w:val="22"/>
    </w:rPr>
  </w:style>
  <w:style w:type="character" w:styleId="748" w:customStyle="1">
    <w:name w:val="Section Number"/>
    <w:basedOn w:val="746"/>
    <w:pPr>
      <w:pBdr/>
      <w:spacing/>
      <w:ind/>
    </w:pPr>
  </w:style>
  <w:style w:type="character" w:styleId="749">
    <w:name w:val="footnote reference"/>
    <w:basedOn w:val="746"/>
    <w:pPr>
      <w:pBdr/>
      <w:spacing/>
      <w:ind/>
    </w:pPr>
    <w:rPr>
      <w:vertAlign w:val="superscript"/>
    </w:rPr>
  </w:style>
  <w:style w:type="character" w:styleId="750">
    <w:name w:val="Hyperlink"/>
    <w:basedOn w:val="746"/>
    <w:pPr>
      <w:pBdr/>
      <w:spacing/>
      <w:ind/>
    </w:pPr>
    <w:rPr>
      <w:color w:val="4f81bd" w:themeColor="accent1"/>
    </w:rPr>
  </w:style>
  <w:style w:type="paragraph" w:styleId="751">
    <w:name w:val="TOC Heading"/>
    <w:basedOn w:val="725"/>
    <w:next w:val="715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752" w:customStyle="1">
    <w:name w:val="Source Code"/>
    <w:basedOn w:val="714"/>
    <w:link w:val="747"/>
    <w:pPr>
      <w:pBdr/>
      <w:spacing/>
      <w:ind/>
    </w:pPr>
  </w:style>
  <w:style w:type="character" w:styleId="753" w:customStyle="1">
    <w:name w:val="KeywordTok"/>
    <w:basedOn w:val="747"/>
    <w:pPr>
      <w:pBdr/>
      <w:spacing/>
      <w:ind/>
    </w:pPr>
    <w:rPr>
      <w:b/>
      <w:color w:val="007020"/>
    </w:rPr>
  </w:style>
  <w:style w:type="character" w:styleId="754" w:customStyle="1">
    <w:name w:val="DataTypeTok"/>
    <w:basedOn w:val="747"/>
    <w:pPr>
      <w:pBdr/>
      <w:spacing/>
      <w:ind/>
    </w:pPr>
    <w:rPr>
      <w:color w:val="902000"/>
    </w:rPr>
  </w:style>
  <w:style w:type="character" w:styleId="755" w:customStyle="1">
    <w:name w:val="DecValTok"/>
    <w:basedOn w:val="747"/>
    <w:pPr>
      <w:pBdr/>
      <w:spacing/>
      <w:ind/>
    </w:pPr>
    <w:rPr>
      <w:color w:val="40a070"/>
    </w:rPr>
  </w:style>
  <w:style w:type="character" w:styleId="756" w:customStyle="1">
    <w:name w:val="BaseNTok"/>
    <w:basedOn w:val="747"/>
    <w:pPr>
      <w:pBdr/>
      <w:spacing/>
      <w:ind/>
    </w:pPr>
    <w:rPr>
      <w:color w:val="40a070"/>
    </w:rPr>
  </w:style>
  <w:style w:type="character" w:styleId="757" w:customStyle="1">
    <w:name w:val="FloatTok"/>
    <w:basedOn w:val="747"/>
    <w:pPr>
      <w:pBdr/>
      <w:spacing/>
      <w:ind/>
    </w:pPr>
    <w:rPr>
      <w:color w:val="40a070"/>
    </w:rPr>
  </w:style>
  <w:style w:type="character" w:styleId="758" w:customStyle="1">
    <w:name w:val="ConstantTok"/>
    <w:basedOn w:val="747"/>
    <w:pPr>
      <w:pBdr/>
      <w:spacing/>
      <w:ind/>
    </w:pPr>
    <w:rPr>
      <w:color w:val="880000"/>
    </w:rPr>
  </w:style>
  <w:style w:type="character" w:styleId="759" w:customStyle="1">
    <w:name w:val="CharTok"/>
    <w:basedOn w:val="747"/>
    <w:pPr>
      <w:pBdr/>
      <w:spacing/>
      <w:ind/>
    </w:pPr>
    <w:rPr>
      <w:color w:val="4070a0"/>
    </w:rPr>
  </w:style>
  <w:style w:type="character" w:styleId="760" w:customStyle="1">
    <w:name w:val="SpecialCharTok"/>
    <w:basedOn w:val="747"/>
    <w:pPr>
      <w:pBdr/>
      <w:spacing/>
      <w:ind/>
    </w:pPr>
    <w:rPr>
      <w:color w:val="4070a0"/>
    </w:rPr>
  </w:style>
  <w:style w:type="character" w:styleId="761" w:customStyle="1">
    <w:name w:val="StringTok"/>
    <w:basedOn w:val="747"/>
    <w:pPr>
      <w:pBdr/>
      <w:spacing/>
      <w:ind/>
    </w:pPr>
    <w:rPr>
      <w:color w:val="4070a0"/>
    </w:rPr>
  </w:style>
  <w:style w:type="character" w:styleId="762" w:customStyle="1">
    <w:name w:val="VerbatimStringTok"/>
    <w:basedOn w:val="747"/>
    <w:pPr>
      <w:pBdr/>
      <w:spacing/>
      <w:ind/>
    </w:pPr>
    <w:rPr>
      <w:color w:val="4070a0"/>
    </w:rPr>
  </w:style>
  <w:style w:type="character" w:styleId="763" w:customStyle="1">
    <w:name w:val="SpecialStringTok"/>
    <w:basedOn w:val="747"/>
    <w:pPr>
      <w:pBdr/>
      <w:spacing/>
      <w:ind/>
    </w:pPr>
    <w:rPr>
      <w:color w:val="bb6688"/>
    </w:rPr>
  </w:style>
  <w:style w:type="character" w:styleId="764" w:customStyle="1">
    <w:name w:val="ImportTok"/>
    <w:basedOn w:val="747"/>
    <w:pPr>
      <w:pBdr/>
      <w:spacing/>
      <w:ind/>
    </w:pPr>
    <w:rPr>
      <w:b/>
      <w:color w:val="008000"/>
    </w:rPr>
  </w:style>
  <w:style w:type="character" w:styleId="765" w:customStyle="1">
    <w:name w:val="CommentTok"/>
    <w:basedOn w:val="747"/>
    <w:pPr>
      <w:pBdr/>
      <w:spacing/>
      <w:ind/>
    </w:pPr>
    <w:rPr>
      <w:i/>
      <w:color w:val="60a0b0"/>
    </w:rPr>
  </w:style>
  <w:style w:type="character" w:styleId="766" w:customStyle="1">
    <w:name w:val="DocumentationTok"/>
    <w:basedOn w:val="747"/>
    <w:pPr>
      <w:pBdr/>
      <w:spacing/>
      <w:ind/>
    </w:pPr>
    <w:rPr>
      <w:i/>
      <w:color w:val="ba2121"/>
    </w:rPr>
  </w:style>
  <w:style w:type="character" w:styleId="767" w:customStyle="1">
    <w:name w:val="AnnotationTok"/>
    <w:basedOn w:val="747"/>
    <w:pPr>
      <w:pBdr/>
      <w:spacing/>
      <w:ind/>
    </w:pPr>
    <w:rPr>
      <w:b/>
      <w:i/>
      <w:color w:val="60a0b0"/>
    </w:rPr>
  </w:style>
  <w:style w:type="character" w:styleId="768" w:customStyle="1">
    <w:name w:val="CommentVarTok"/>
    <w:basedOn w:val="747"/>
    <w:pPr>
      <w:pBdr/>
      <w:spacing/>
      <w:ind/>
    </w:pPr>
    <w:rPr>
      <w:b/>
      <w:i/>
      <w:color w:val="60a0b0"/>
    </w:rPr>
  </w:style>
  <w:style w:type="character" w:styleId="769" w:customStyle="1">
    <w:name w:val="OtherTok"/>
    <w:basedOn w:val="747"/>
    <w:pPr>
      <w:pBdr/>
      <w:spacing/>
      <w:ind/>
    </w:pPr>
    <w:rPr>
      <w:color w:val="007020"/>
    </w:rPr>
  </w:style>
  <w:style w:type="character" w:styleId="770" w:customStyle="1">
    <w:name w:val="FunctionTok"/>
    <w:basedOn w:val="747"/>
    <w:pPr>
      <w:pBdr/>
      <w:spacing/>
      <w:ind/>
    </w:pPr>
    <w:rPr>
      <w:color w:val="06287e"/>
    </w:rPr>
  </w:style>
  <w:style w:type="character" w:styleId="771" w:customStyle="1">
    <w:name w:val="VariableTok"/>
    <w:basedOn w:val="747"/>
    <w:pPr>
      <w:pBdr/>
      <w:spacing/>
      <w:ind/>
    </w:pPr>
    <w:rPr>
      <w:color w:val="19177c"/>
    </w:rPr>
  </w:style>
  <w:style w:type="character" w:styleId="772" w:customStyle="1">
    <w:name w:val="ControlFlowTok"/>
    <w:basedOn w:val="747"/>
    <w:pPr>
      <w:pBdr/>
      <w:spacing/>
      <w:ind/>
    </w:pPr>
    <w:rPr>
      <w:b/>
      <w:color w:val="007020"/>
    </w:rPr>
  </w:style>
  <w:style w:type="character" w:styleId="773" w:customStyle="1">
    <w:name w:val="OperatorTok"/>
    <w:basedOn w:val="747"/>
    <w:pPr>
      <w:pBdr/>
      <w:spacing/>
      <w:ind/>
    </w:pPr>
    <w:rPr>
      <w:color w:val="666666"/>
    </w:rPr>
  </w:style>
  <w:style w:type="character" w:styleId="774" w:customStyle="1">
    <w:name w:val="BuiltInTok"/>
    <w:basedOn w:val="747"/>
    <w:pPr>
      <w:pBdr/>
      <w:spacing/>
      <w:ind/>
    </w:pPr>
    <w:rPr>
      <w:color w:val="008000"/>
    </w:rPr>
  </w:style>
  <w:style w:type="character" w:styleId="775" w:customStyle="1">
    <w:name w:val="ExtensionTok"/>
    <w:basedOn w:val="747"/>
    <w:pPr>
      <w:pBdr/>
      <w:spacing/>
      <w:ind/>
    </w:pPr>
  </w:style>
  <w:style w:type="character" w:styleId="776" w:customStyle="1">
    <w:name w:val="PreprocessorTok"/>
    <w:basedOn w:val="747"/>
    <w:pPr>
      <w:pBdr/>
      <w:spacing/>
      <w:ind/>
    </w:pPr>
    <w:rPr>
      <w:color w:val="bc7a00"/>
    </w:rPr>
  </w:style>
  <w:style w:type="character" w:styleId="777" w:customStyle="1">
    <w:name w:val="AttributeTok"/>
    <w:basedOn w:val="747"/>
    <w:pPr>
      <w:pBdr/>
      <w:spacing/>
      <w:ind/>
    </w:pPr>
    <w:rPr>
      <w:color w:val="7d9029"/>
    </w:rPr>
  </w:style>
  <w:style w:type="character" w:styleId="778" w:customStyle="1">
    <w:name w:val="RegionMarkerTok"/>
    <w:basedOn w:val="747"/>
    <w:pPr>
      <w:pBdr/>
      <w:spacing/>
      <w:ind/>
    </w:pPr>
  </w:style>
  <w:style w:type="character" w:styleId="779" w:customStyle="1">
    <w:name w:val="InformationTok"/>
    <w:basedOn w:val="747"/>
    <w:pPr>
      <w:pBdr/>
      <w:spacing/>
      <w:ind/>
    </w:pPr>
    <w:rPr>
      <w:b/>
      <w:i/>
      <w:color w:val="60a0b0"/>
    </w:rPr>
  </w:style>
  <w:style w:type="character" w:styleId="780" w:customStyle="1">
    <w:name w:val="WarningTok"/>
    <w:basedOn w:val="747"/>
    <w:pPr>
      <w:pBdr/>
      <w:spacing/>
      <w:ind/>
    </w:pPr>
    <w:rPr>
      <w:b/>
      <w:i/>
      <w:color w:val="60a0b0"/>
    </w:rPr>
  </w:style>
  <w:style w:type="character" w:styleId="781" w:customStyle="1">
    <w:name w:val="AlertTok"/>
    <w:basedOn w:val="747"/>
    <w:pPr>
      <w:pBdr/>
      <w:spacing/>
      <w:ind/>
    </w:pPr>
    <w:rPr>
      <w:b/>
      <w:color w:val="ff0000"/>
    </w:rPr>
  </w:style>
  <w:style w:type="character" w:styleId="782" w:customStyle="1">
    <w:name w:val="ErrorTok"/>
    <w:basedOn w:val="747"/>
    <w:pPr>
      <w:pBdr/>
      <w:spacing/>
      <w:ind/>
    </w:pPr>
    <w:rPr>
      <w:b/>
      <w:color w:val="ff0000"/>
    </w:rPr>
  </w:style>
  <w:style w:type="character" w:styleId="783" w:customStyle="1">
    <w:name w:val="NormalTok"/>
    <w:basedOn w:val="747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кибербезопасности для руководства: example.com</dc:title>
  <dc:creator>Директор по информационной безопасности</dc:creator>
  <cp:keywords/>
  <cp:revision>1</cp:revision>
  <dcterms:created xsi:type="dcterms:W3CDTF">2025-12-18T09:50:31Z</dcterms:created>
  <dcterms:modified xsi:type="dcterms:W3CDTF">2025-12-18T11:22:22Z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2025-12-17</vt:lpwstr>
  </property>
</Properties>
</file>