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8"/>
        <w:pBdr/>
        <w:spacing/>
        <w:ind/>
        <w:rPr/>
      </w:pPr>
      <w:r>
        <w:rPr>
          <w:lang w:val="ru-RU" w:bidi="ru-RU"/>
        </w:rPr>
      </w: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оценке</w:t>
      </w:r>
      <w:r>
        <w:t xml:space="preserve"> </w:t>
      </w:r>
      <w:r>
        <w:t xml:space="preserve">безопасности</w:t>
      </w:r>
      <w:r>
        <w:t xml:space="preserve"> </w:t>
      </w:r>
      <w:r>
        <w:t xml:space="preserve">TLS</w:t>
      </w:r>
      <w:r>
        <w:t xml:space="preserve"> </w:t>
      </w:r>
      <w:r>
        <w:t xml:space="preserve">и</w:t>
      </w:r>
      <w:r>
        <w:t xml:space="preserve"> </w:t>
      </w:r>
      <w:r>
        <w:t xml:space="preserve">криптографических</w:t>
      </w:r>
      <w:r>
        <w:t xml:space="preserve"> </w:t>
      </w:r>
      <w:r>
        <w:t xml:space="preserve">средств</w:t>
      </w:r>
      <w:r/>
    </w:p>
    <w:p>
      <w:pPr>
        <w:pStyle w:val="710"/>
        <w:pBdr/>
        <w:spacing/>
        <w:ind/>
        <w:rPr/>
      </w:pPr>
      <w:r>
        <w:t xml:space="preserve">Команда</w:t>
      </w:r>
      <w:r>
        <w:t xml:space="preserve"> </w:t>
      </w:r>
      <w:r>
        <w:t xml:space="preserve">оценки</w:t>
      </w:r>
      <w:r>
        <w:t xml:space="preserve"> </w:t>
      </w:r>
      <w:r>
        <w:t xml:space="preserve">безопасности</w:t>
      </w:r>
      <w:r/>
    </w:p>
    <w:p>
      <w:pPr>
        <w:pStyle w:val="711"/>
        <w:pBdr/>
        <w:spacing/>
        <w:ind/>
        <w:rPr/>
      </w:pPr>
      <w:r>
        <w:t xml:space="preserve">2026-01-29</w:t>
      </w:r>
      <w:r/>
    </w:p>
    <w:p>
      <w:pPr>
        <w:pStyle w:val="715"/>
        <w:pBdr/>
        <w:spacing/>
        <w:ind/>
        <w:rPr/>
      </w:pPr>
      <w:r/>
      <w:bookmarkStart w:id="20" w:name="резюме"/>
      <w:r>
        <w:t xml:space="preserve">Резюме</w:t>
      </w:r>
      <w:r/>
    </w:p>
    <w:p>
      <w:pPr>
        <w:pStyle w:val="706"/>
        <w:pBdr/>
        <w:spacing/>
        <w:ind/>
        <w:rPr/>
      </w:pPr>
      <w:r>
        <w:t xml:space="preserve">Реализация TLS, защищающая оцениваемое веб-приложение, была проанализирована в соответствии с текущими лучшими практиками индустрии и регулятивными рекомендациями (2025–2026). Конфигурация демонстрирует</w:t>
      </w:r>
      <w:r>
        <w:t xml:space="preserve"> </w:t>
      </w:r>
      <w:r>
        <w:rPr>
          <w:b/>
          <w:bCs/>
        </w:rPr>
        <w:t xml:space="preserve">высокий уровень безопасности</w:t>
      </w:r>
      <w:r>
        <w:t xml:space="preserve">, включая предпочтение современных версий протоколов, надежные криптографические примитивы, принудительное обеспечение Perfect Forward Secrecy и устойчивость к известным атакам на уровне протокола.</w:t>
      </w:r>
      <w:r/>
    </w:p>
    <w:p>
      <w:pPr>
        <w:pStyle w:val="724"/>
        <w:pBdr/>
        <w:spacing/>
        <w:ind/>
        <w:rPr/>
      </w:pPr>
      <w:r>
        <w:rPr>
          <w:b/>
          <w:bCs/>
        </w:rPr>
        <w:t xml:space="preserve">Ключевой вывод</w:t>
      </w:r>
      <w:r>
        <w:t xml:space="preserve">: В ходе оценки не было выявлено критических, высоких или средних рисков. Незначительные возможности усиления защиты с низким уровнем риска документированы для полноты картины.</w:t>
      </w:r>
      <w:r/>
    </w:p>
    <w:p>
      <w:pPr>
        <w:pStyle w:val="706"/>
        <w:pBdr/>
        <w:spacing/>
        <w:ind/>
        <w:rPr/>
      </w:pPr>
      <w:r>
        <w:rPr>
          <w:b/>
          <w:bCs/>
        </w:rPr>
        <w:t xml:space="preserve">Общий рейтинг риска:</w:t>
      </w:r>
      <w:r>
        <w:t xml:space="preserve"> </w:t>
      </w:r>
      <w:r>
        <w:rPr>
          <w:b/>
          <w:bCs/>
        </w:rPr>
        <w:t xml:space="preserve">Очень низкий</w:t>
      </w:r>
      <w:r/>
    </w:p>
    <w:p>
      <w:pPr>
        <w:pStyle w:val="705"/>
        <w:pBdr/>
        <w:spacing/>
        <w:ind/>
        <w:rPr/>
      </w:pPr>
      <w:r>
        <w:t xml:space="preserve">С точки зрения бизнес-рисков, текущая конфигурация TLS не создает существенных рисков для конфиденциальности, целостности или доступности.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715"/>
        <w:pBdr/>
        <w:spacing/>
        <w:ind/>
        <w:rPr/>
      </w:pPr>
      <w:r/>
      <w:bookmarkStart w:id="22" w:name="параметры-оценки"/>
      <w:r>
        <w:t xml:space="preserve">Параметры оценки</w:t>
      </w:r>
      <w:r/>
    </w:p>
    <w:tbl>
      <w:tblPr>
        <w:tblStyle w:val="728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Параметр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Детали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Цель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Веб-приложение (HTTPS-конечная точка)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Область оценки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Конфигурация Transport Layer Security (TLS), криптографическая стойкость, поддержка протоколов и наборов шифров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Тип оценки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Неинтрузивная, внешняя, основанная на анализе конфигурации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Методологическая база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NIST SP 800-52r2 (основной), Рекомендации Mozilla по серверному TLS (современный профиль, редакция 2025), Рекомендации NCSC по TLS, OWASP Transport Layer Security Cheat Sheet</w:t>
            </w:r>
            <w:r/>
          </w:p>
        </w:tc>
      </w:tr>
    </w:tbl>
    <w:p>
      <w:pPr>
        <w:pStyle w:val="716"/>
        <w:pBdr/>
        <w:spacing/>
        <w:ind/>
        <w:rPr/>
      </w:pPr>
      <w:r/>
      <w:bookmarkStart w:id="21" w:name="используемые-инструменты"/>
      <w:r>
        <w:t xml:space="preserve">Используемые инструменты</w:t>
      </w:r>
      <w:r/>
    </w:p>
    <w:p>
      <w:pPr>
        <w:pStyle w:val="70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Nmap</w:t>
      </w:r>
      <w:r>
        <w:t xml:space="preserve"> </w:t>
      </w:r>
      <w:r>
        <w:t xml:space="preserve">(NSE: ssl-enum-ciphers, ssl-cert, ssl-enum-protocols)</w:t>
      </w:r>
      <w:r/>
    </w:p>
    <w:p>
      <w:pPr>
        <w:pStyle w:val="70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sslscan / testssl.sh</w:t>
      </w:r>
      <w:r/>
    </w:p>
    <w:p>
      <w:pPr>
        <w:pStyle w:val="70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Qualys SSL Labs</w:t>
      </w:r>
      <w:r>
        <w:t xml:space="preserve"> </w:t>
      </w:r>
      <w:r>
        <w:t xml:space="preserve">(перекрестная проверка)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bookmarkEnd w:id="22"/>
      <w:r/>
    </w:p>
    <w:p>
      <w:pPr>
        <w:pStyle w:val="715"/>
        <w:pBdr/>
        <w:spacing/>
        <w:ind/>
        <w:rPr/>
      </w:pPr>
      <w:r/>
      <w:bookmarkStart w:id="24" w:name="X58ece3996f5cb215a650796d30d42cc2b84906f"/>
      <w:r>
        <w:t xml:space="preserve">Соответствие стандартам и нормативным требованиям</w:t>
      </w:r>
      <w:r/>
    </w:p>
    <w:p>
      <w:pPr>
        <w:pStyle w:val="706"/>
        <w:pBdr/>
        <w:spacing/>
        <w:ind/>
        <w:rPr/>
      </w:pPr>
      <w:r>
        <w:t xml:space="preserve">Данная оценка проводилась в соответствии со следующими авторитетными стандартами и отраслевыми рекомендациями:</w:t>
      </w:r>
      <w:r/>
    </w:p>
    <w:p>
      <w:pPr>
        <w:pStyle w:val="70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NIST SP 800-52 Revision 2</w:t>
      </w:r>
      <w:r>
        <w:t xml:space="preserve"> </w:t>
      </w:r>
      <w:r>
        <w:t xml:space="preserve">— Руководство по выбору, настройке и использованию реализаций TLS (основной справочник)</w:t>
      </w:r>
      <w:r/>
    </w:p>
    <w:p>
      <w:pPr>
        <w:pStyle w:val="70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Генератор конфигурации Mozilla SSL</w:t>
      </w:r>
      <w:r>
        <w:t xml:space="preserve"> </w:t>
      </w:r>
      <w:r>
        <w:t xml:space="preserve">— современный профиль совместимости (2025)</w:t>
      </w:r>
      <w:r/>
    </w:p>
    <w:p>
      <w:pPr>
        <w:pStyle w:val="70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Руководство UK NCSC по TLS</w:t>
      </w:r>
      <w:r>
        <w:t xml:space="preserve"> </w:t>
      </w:r>
      <w:r>
        <w:t xml:space="preserve">— рекомендуемые профили</w:t>
      </w:r>
      <w:r/>
    </w:p>
    <w:p>
      <w:pPr>
        <w:pStyle w:val="70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OWASP Transport Layer Security Cheat Sheet</w:t>
      </w:r>
      <w:r/>
    </w:p>
    <w:p>
      <w:pPr>
        <w:pStyle w:val="70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Лучшие практики Cloudflare TLS</w:t>
      </w:r>
      <w:r>
        <w:t xml:space="preserve"> </w:t>
      </w:r>
      <w:r>
        <w:t xml:space="preserve">(информационно)</w:t>
      </w:r>
      <w:r/>
    </w:p>
    <w:p>
      <w:pPr>
        <w:pStyle w:val="716"/>
        <w:pBdr/>
        <w:spacing/>
        <w:ind/>
        <w:rPr/>
      </w:pPr>
      <w:r/>
      <w:bookmarkStart w:id="23" w:name="X8d8bc97e8b59da74530312061600fb8307ecc2c"/>
      <w:r>
        <w:t xml:space="preserve">Ключевые требования выполнены или превышены</w:t>
      </w:r>
      <w:r/>
    </w:p>
    <w:p>
      <w:pPr>
        <w:pStyle w:val="706"/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TLS 1.3</w:t>
      </w:r>
      <w:r>
        <w:t xml:space="preserve"> </w:t>
      </w:r>
      <w:r>
        <w:t xml:space="preserve">обязателен и предпочтителен для всех современных клиентов</w:t>
      </w:r>
      <w:r/>
    </w:p>
    <w:p>
      <w:pPr>
        <w:pStyle w:val="705"/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TLS 1.2</w:t>
      </w:r>
      <w:r>
        <w:t xml:space="preserve"> </w:t>
      </w:r>
      <w:r>
        <w:t xml:space="preserve">включен только как ограниченный, безопасный резерв</w:t>
      </w:r>
      <w:r/>
    </w:p>
    <w:p>
      <w:pPr>
        <w:pStyle w:val="705"/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Отсутствие устаревших протоколов</w:t>
      </w:r>
      <w:r>
        <w:t xml:space="preserve"> </w:t>
      </w:r>
      <w:r>
        <w:t xml:space="preserve">(TLS 1.1, 1.0, SSLv3/v2 отключены)</w:t>
      </w:r>
      <w:r/>
    </w:p>
    <w:p>
      <w:pPr>
        <w:pStyle w:val="705"/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Perfect Forward Secrecy</w:t>
      </w:r>
      <w:r>
        <w:t xml:space="preserve"> </w:t>
      </w:r>
      <w:r>
        <w:t xml:space="preserve">обеспечивается через ECDHE с современными эллиптическими кривыми</w:t>
      </w:r>
      <w:r/>
    </w:p>
    <w:p>
      <w:pPr>
        <w:pStyle w:val="705"/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Наборы шифров AEAD</w:t>
      </w:r>
      <w:r>
        <w:t xml:space="preserve"> </w:t>
      </w:r>
      <w:r>
        <w:t xml:space="preserve">(AES-GCM, ChaCha20-Poly1305) используются исключительно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bookmarkEnd w:id="24"/>
      <w:r/>
    </w:p>
    <w:p>
      <w:pPr>
        <w:pStyle w:val="715"/>
        <w:pBdr/>
        <w:spacing/>
        <w:ind/>
        <w:rPr/>
      </w:pPr>
      <w:r/>
      <w:bookmarkStart w:id="26" w:name="анализ-поддержки-протоколов-tls"/>
      <w:r>
        <w:t xml:space="preserve">Анализ поддержки протоколов TLS</w:t>
      </w:r>
      <w:r/>
    </w:p>
    <w:tbl>
      <w:tblPr>
        <w:tblStyle w:val="728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Версия протокола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Статус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Оценка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TLS 1.3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Включен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Предпочтительный; наиболее безопасный и эффективный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TLS 1.2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Включен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Безопасный резерв со строгим контролем шифров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TLS 1.1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❌ Отключен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Соответствует требованиям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TLS 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❌ Отключен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Соответствует требованиям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SSLv3 / SSLv2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❌ Отключен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Соответствует требованиям</w:t>
            </w:r>
            <w:r/>
          </w:p>
        </w:tc>
      </w:tr>
    </w:tbl>
    <w:p>
      <w:pPr>
        <w:pStyle w:val="716"/>
        <w:pBdr/>
        <w:spacing/>
        <w:ind/>
        <w:rPr/>
      </w:pPr>
      <w:r/>
      <w:bookmarkStart w:id="25" w:name="заключение"/>
      <w:r>
        <w:t xml:space="preserve">Заключение</w:t>
      </w:r>
      <w:r/>
    </w:p>
    <w:p>
      <w:pPr>
        <w:pStyle w:val="706"/>
        <w:pBdr/>
        <w:spacing/>
        <w:ind/>
        <w:rPr/>
      </w:pPr>
      <w:r>
        <w:t xml:space="preserve">TLS 1.3 последовательно согласовывался для всех протестированных современных клиен</w:t>
      </w:r>
      <w:r>
        <w:t xml:space="preserve">тов. TLS 1.2 наблюдался только в сценариях совместимости и ограничен сильными наборами шифров. Небезопасные или устаревшие версии протоколов не поддерживаются. Данная конфигурация соответствует рекомендациям NIST, Mozilla Modern и NCSC для 2025–2026 годов.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bookmarkEnd w:id="26"/>
      <w:r/>
    </w:p>
    <w:p>
      <w:pPr>
        <w:pStyle w:val="715"/>
        <w:pBdr/>
        <w:spacing/>
        <w:ind/>
        <w:rPr/>
      </w:pPr>
      <w:r/>
      <w:bookmarkStart w:id="30" w:name="оценка-наборов-шифров"/>
      <w:r>
        <w:t xml:space="preserve">Оценка наборов шифров</w:t>
      </w:r>
      <w:r/>
    </w:p>
    <w:p>
      <w:pPr>
        <w:pStyle w:val="716"/>
        <w:pBdr/>
        <w:spacing/>
        <w:ind/>
        <w:rPr/>
      </w:pPr>
      <w:r/>
      <w:bookmarkStart w:id="27" w:name="наборы-шифров-tls-13"/>
      <w:r>
        <w:t xml:space="preserve">Наборы шифров TLS 1.3</w:t>
      </w:r>
      <w:r/>
    </w:p>
    <w:p>
      <w:pPr>
        <w:pStyle w:val="706"/>
        <w:pBdr/>
        <w:spacing/>
        <w:ind/>
        <w:rPr/>
      </w:pPr>
      <w:r>
        <w:rPr>
          <w:i/>
          <w:iCs/>
        </w:rPr>
        <w:t xml:space="preserve">Наблюдаемый порядок предпочтений сервера:</w:t>
      </w:r>
      <w:r/>
    </w:p>
    <w:p>
      <w:pPr>
        <w:pStyle w:val="70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TLS_AES_128_GCM_SHA256</w:t>
      </w:r>
      <w:r/>
    </w:p>
    <w:p>
      <w:pPr>
        <w:pStyle w:val="70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TLS_CHACHA20_POLY1305_SHA256</w:t>
      </w:r>
      <w:r/>
    </w:p>
    <w:p>
      <w:pPr>
        <w:pStyle w:val="70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TLS_AES_256_GCM_SHA384</w:t>
      </w:r>
      <w:bookmarkEnd w:id="27"/>
      <w:r/>
    </w:p>
    <w:p>
      <w:pPr>
        <w:pStyle w:val="716"/>
        <w:pBdr/>
        <w:spacing/>
        <w:ind/>
        <w:rPr/>
      </w:pPr>
      <w:r/>
      <w:bookmarkStart w:id="28" w:name="наборы-шифров-tls-12"/>
      <w:r>
        <w:t xml:space="preserve">Наборы шифров TLS 1.2</w:t>
      </w:r>
      <w:r/>
    </w:p>
    <w:p>
      <w:pPr>
        <w:pStyle w:val="706"/>
        <w:pBdr/>
        <w:spacing/>
        <w:ind/>
        <w:rPr/>
      </w:pPr>
      <w:r>
        <w:rPr>
          <w:i/>
          <w:iCs/>
        </w:rPr>
        <w:t xml:space="preserve">Только PFS, предпочитаемые сервером:</w:t>
      </w:r>
      <w:r/>
    </w:p>
    <w:p>
      <w:pPr>
        <w:pStyle w:val="707"/>
        <w:numPr>
          <w:ilvl w:val="0"/>
          <w:numId w:val="5"/>
        </w:numPr>
        <w:pBdr/>
        <w:spacing/>
        <w:ind/>
        <w:rPr/>
      </w:pPr>
      <w:r>
        <w:t xml:space="preserve">ECDHE-ECDSA-AES128-GCM-SHA256</w:t>
      </w:r>
      <w:r/>
    </w:p>
    <w:p>
      <w:pPr>
        <w:pStyle w:val="707"/>
        <w:numPr>
          <w:ilvl w:val="0"/>
          <w:numId w:val="5"/>
        </w:numPr>
        <w:pBdr/>
        <w:spacing/>
        <w:ind/>
        <w:rPr/>
      </w:pPr>
      <w:r>
        <w:t xml:space="preserve">ECDHE-ECDSA-AES256-GCM-SHA384</w:t>
      </w:r>
      <w:r/>
    </w:p>
    <w:p>
      <w:pPr>
        <w:pStyle w:val="707"/>
        <w:numPr>
          <w:ilvl w:val="0"/>
          <w:numId w:val="5"/>
        </w:numPr>
        <w:pBdr/>
        <w:spacing/>
        <w:ind/>
        <w:rPr/>
      </w:pPr>
      <w:r>
        <w:t xml:space="preserve">ECDHE-ECDSA-CHACHA20-POLY1305</w:t>
      </w:r>
      <w:r/>
    </w:p>
    <w:p>
      <w:pPr>
        <w:pStyle w:val="707"/>
        <w:numPr>
          <w:ilvl w:val="0"/>
          <w:numId w:val="5"/>
        </w:numPr>
        <w:pBdr/>
        <w:spacing/>
        <w:ind/>
        <w:rPr/>
      </w:pPr>
      <w:r>
        <w:t xml:space="preserve">ECDHE-RSA-AES128-GCM-SHA256</w:t>
      </w:r>
      <w:r/>
    </w:p>
    <w:p>
      <w:pPr>
        <w:pStyle w:val="707"/>
        <w:numPr>
          <w:ilvl w:val="0"/>
          <w:numId w:val="5"/>
        </w:numPr>
        <w:pBdr/>
        <w:spacing/>
        <w:ind/>
        <w:rPr/>
      </w:pPr>
      <w:r>
        <w:t xml:space="preserve">ECDHE-RSA-AES256-GCM-SHA384</w:t>
      </w:r>
      <w:r/>
    </w:p>
    <w:p>
      <w:pPr>
        <w:pStyle w:val="707"/>
        <w:numPr>
          <w:ilvl w:val="0"/>
          <w:numId w:val="5"/>
        </w:numPr>
        <w:pBdr/>
        <w:spacing/>
        <w:ind/>
        <w:rPr/>
      </w:pPr>
      <w:r>
        <w:t xml:space="preserve">ECDHE-RSA-CHACHA20-POLY1305</w:t>
      </w:r>
      <w:bookmarkEnd w:id="28"/>
      <w:r/>
    </w:p>
    <w:p>
      <w:pPr>
        <w:pStyle w:val="716"/>
        <w:pBdr/>
        <w:spacing/>
        <w:ind/>
        <w:rPr/>
      </w:pPr>
      <w:r/>
      <w:bookmarkStart w:id="29" w:name="сводная-оценка"/>
      <w:r>
        <w:t xml:space="preserve">Сводная оценка</w:t>
      </w:r>
      <w:r/>
    </w:p>
    <w:p>
      <w:pPr>
        <w:pStyle w:val="724"/>
        <w:pBdr/>
        <w:spacing/>
        <w:ind/>
        <w:rPr/>
      </w:pPr>
      <w:r>
        <w:rPr>
          <w:b/>
          <w:bCs/>
        </w:rPr>
        <w:t xml:space="preserve">Криптографическая стойкость</w:t>
      </w:r>
      <w:r>
        <w:t xml:space="preserve">: Все поддерживаемые наборы шифров реализуют AEAD (аутентифицированное шифрование с дополнительными данными)</w:t>
      </w:r>
      <w:r/>
    </w:p>
    <w:p>
      <w:pPr>
        <w:pStyle w:val="707"/>
        <w:numPr>
          <w:ilvl w:val="0"/>
          <w:numId w:val="6"/>
        </w:numPr>
        <w:pBdr/>
        <w:spacing/>
        <w:ind/>
        <w:rPr/>
      </w:pPr>
      <w:r>
        <w:t xml:space="preserve">✅ Слабые, анонимные, основанные на CBC, SHA-1 или экспортные шифры не включены</w:t>
      </w:r>
      <w:r/>
    </w:p>
    <w:p>
      <w:pPr>
        <w:pStyle w:val="707"/>
        <w:numPr>
          <w:ilvl w:val="0"/>
          <w:numId w:val="6"/>
        </w:numPr>
        <w:pBdr/>
        <w:spacing/>
        <w:ind/>
        <w:rPr/>
      </w:pPr>
      <w:r>
        <w:t xml:space="preserve">✅ Порядок шифров сервера демонстрирует оптимальный баланс между производительностью и безопасностью</w:t>
      </w:r>
      <w:r/>
    </w:p>
    <w:p>
      <w:pPr>
        <w:pStyle w:val="707"/>
        <w:numPr>
          <w:ilvl w:val="0"/>
          <w:numId w:val="6"/>
        </w:numPr>
        <w:pBdr/>
        <w:spacing/>
        <w:ind/>
        <w:rPr/>
      </w:pPr>
      <w:r>
        <w:t xml:space="preserve">✅ ChaCha20-Poly1305 приоритизирован для мобильных устройств и сред с низкой энтропией</w:t>
      </w:r>
      <w:r/>
    </w:p>
    <w:p>
      <w:pPr>
        <w:pStyle w:val="707"/>
        <w:numPr>
          <w:ilvl w:val="0"/>
          <w:numId w:val="6"/>
        </w:numPr>
        <w:pBdr/>
        <w:spacing/>
        <w:ind/>
        <w:rPr/>
      </w:pPr>
      <w:r>
        <w:t xml:space="preserve">✅ AES-GCM оптимизирован для аппаратно-ускоренных платформ</w:t>
      </w:r>
      <w:r/>
    </w:p>
    <w:p>
      <w:pPr>
        <w:pStyle w:val="707"/>
        <w:numPr>
          <w:ilvl w:val="0"/>
          <w:numId w:val="6"/>
        </w:numPr>
        <w:pBdr/>
        <w:spacing/>
        <w:ind/>
        <w:rPr/>
      </w:pPr>
      <w:r>
        <w:t xml:space="preserve">✅ Perfect Forward Secrecy обеспечивается для всех согласованных соединений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bookmarkEnd w:id="30"/>
      <w:r/>
    </w:p>
    <w:p>
      <w:pPr>
        <w:pStyle w:val="715"/>
        <w:pBdr/>
        <w:spacing/>
        <w:ind/>
        <w:rPr/>
      </w:pPr>
      <w:r/>
      <w:bookmarkStart w:id="31" w:name="X7f698f88792848a1044361eebccfc6c76ff33b2"/>
      <w:r>
        <w:t xml:space="preserve">Конфигурация обмена ключами и криптографии</w:t>
      </w:r>
      <w:r/>
    </w:p>
    <w:tbl>
      <w:tblPr>
        <w:tblStyle w:val="728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Компонент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Конфигурация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Оценка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Обмен ключами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X25519 (предпочтительный), secp256r1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Безопасный и производительный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Аутентификация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ECDSA (предпочтительный), RSA-2048/3072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Соответствует требованиям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Симметричное шифрование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AES-GCM, ChaCha20-Poly1305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Безопасный AEAD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Длина ключа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256-битные кривые, 2048/3072-битный RSA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Рекомендовано индустрией</w:t>
            </w:r>
            <w:r/>
          </w:p>
        </w:tc>
      </w:tr>
    </w:tbl>
    <w:p>
      <w:pPr>
        <w:pStyle w:val="705"/>
        <w:pBdr/>
        <w:spacing/>
        <w:ind/>
        <w:rPr/>
      </w:pPr>
      <w:r>
        <w:t xml:space="preserve">💡</w:t>
      </w:r>
      <w:r>
        <w:t xml:space="preserve"> </w:t>
      </w:r>
      <w:r>
        <w:rPr>
          <w:b/>
          <w:bCs/>
        </w:rPr>
        <w:t xml:space="preserve">Техническое примечание</w:t>
      </w:r>
      <w:r>
        <w:t xml:space="preserve">: X25519 правильно предпочитается для обмена ключами, обеспечивая улучшенную производительность и устойчивость к атакам по побочным каналам по сравнению с традиционными кривыми NIST P-256.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r/>
    </w:p>
    <w:p>
      <w:pPr>
        <w:pStyle w:val="715"/>
        <w:pBdr/>
        <w:spacing/>
        <w:ind/>
        <w:rPr/>
      </w:pPr>
      <w:r/>
      <w:bookmarkStart w:id="34" w:name="оценка-уязвимостей-безопасности"/>
      <w:r>
        <w:t xml:space="preserve">Оценка уязвимостей безопасности</w:t>
      </w:r>
      <w:r/>
    </w:p>
    <w:p>
      <w:pPr>
        <w:pStyle w:val="716"/>
        <w:pBdr/>
        <w:spacing/>
        <w:ind/>
        <w:rPr/>
      </w:pPr>
      <w:r/>
      <w:bookmarkStart w:id="32" w:name="X377940d405220de6f2ccd997575b2d33e8cd7cc"/>
      <w:r>
        <w:t xml:space="preserve">Устойчивость к атакам понижения версии и устаревшим атакам</w:t>
      </w:r>
      <w:r/>
    </w:p>
    <w:p>
      <w:pPr>
        <w:pStyle w:val="706"/>
        <w:pBdr/>
        <w:spacing/>
        <w:ind/>
        <w:rPr/>
      </w:pPr>
      <w:r>
        <w:t xml:space="preserve">Были проверены следующие средства защиты от атак понижения версии и устаревших атак:</w:t>
      </w:r>
      <w:r/>
    </w:p>
    <w:p>
      <w:pPr>
        <w:pStyle w:val="707"/>
        <w:numPr>
          <w:ilvl w:val="0"/>
          <w:numId w:val="7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TLS_FALLBACK_SCSV</w:t>
      </w:r>
      <w:r>
        <w:t xml:space="preserve"> </w:t>
      </w:r>
      <w:r>
        <w:t xml:space="preserve">поддерживается</w:t>
      </w:r>
      <w:r/>
    </w:p>
    <w:p>
      <w:pPr>
        <w:pStyle w:val="707"/>
        <w:numPr>
          <w:ilvl w:val="0"/>
          <w:numId w:val="7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Отсутствие путей понижения</w:t>
      </w:r>
      <w:r>
        <w:t xml:space="preserve"> </w:t>
      </w:r>
      <w:r>
        <w:t xml:space="preserve">к слабым наборам шифров TLS 1.2</w:t>
      </w:r>
      <w:r/>
    </w:p>
    <w:p>
      <w:pPr>
        <w:pStyle w:val="707"/>
        <w:numPr>
          <w:ilvl w:val="0"/>
          <w:numId w:val="7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Защита от понижения TLS 1.3</w:t>
      </w:r>
      <w:r>
        <w:t xml:space="preserve"> </w:t>
      </w:r>
      <w:r>
        <w:t xml:space="preserve">правильно обеспечивается</w:t>
      </w:r>
      <w:r/>
    </w:p>
    <w:p>
      <w:pPr>
        <w:pStyle w:val="707"/>
        <w:numPr>
          <w:ilvl w:val="0"/>
          <w:numId w:val="7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Невозможность согласования устаревших шифров</w:t>
      </w:r>
      <w:r/>
    </w:p>
    <w:p>
      <w:pPr>
        <w:pStyle w:val="706"/>
        <w:pBdr/>
        <w:spacing/>
        <w:ind/>
        <w:rPr/>
      </w:pPr>
      <w:r>
        <w:rPr>
          <w:b/>
          <w:bCs/>
        </w:rPr>
        <w:t xml:space="preserve">Результат</w:t>
      </w:r>
      <w:r>
        <w:t xml:space="preserve">: Конфигурация устойчива к известным атакам понижения версии и устаревшим атакам протокола, включая POODLE, Logjam и попытки понижения, инициированные клиентом.</w:t>
      </w:r>
      <w:bookmarkEnd w:id="32"/>
      <w:r/>
    </w:p>
    <w:p>
      <w:pPr>
        <w:pStyle w:val="716"/>
        <w:pBdr/>
        <w:spacing/>
        <w:ind/>
        <w:rPr/>
      </w:pPr>
      <w:r/>
      <w:bookmarkStart w:id="33" w:name="проверка-известных-уязвимостей"/>
      <w:r>
        <w:t xml:space="preserve">Проверка известных уязвимостей</w:t>
      </w:r>
      <w:r/>
    </w:p>
    <w:tbl>
      <w:tblPr>
        <w:tblStyle w:val="728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Уязвимость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Статус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Heartbleed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Не уязвим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BEAST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Смягчено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CRIME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Неприменимо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POODLE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Не уязвим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Logjam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Не уязвим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Sweet32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✅ Не уязвим</w:t>
            </w:r>
            <w:r/>
          </w:p>
        </w:tc>
      </w:tr>
    </w:tbl>
    <w:p>
      <w:pPr>
        <w:pStyle w:val="705"/>
        <w:pBdr/>
        <w:spacing/>
        <w:ind/>
        <w:rPr/>
      </w:pPr>
      <w:r>
        <w:rPr>
          <w:b/>
          <w:bCs/>
        </w:rPr>
        <w:t xml:space="preserve">Заключение</w:t>
      </w:r>
      <w:r>
        <w:t xml:space="preserve">: В ходе тестирования не было обнаружено эксплуатируемых уязвимостей на уровне TLS.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bookmarkEnd w:id="34"/>
      <w:r/>
    </w:p>
    <w:p>
      <w:pPr>
        <w:pStyle w:val="715"/>
        <w:pBdr/>
        <w:spacing/>
        <w:ind/>
        <w:rPr/>
      </w:pPr>
      <w:r/>
      <w:bookmarkStart w:id="36" w:name="Xa7bbea71b8c54f3c6e11146d6809d8daba8c4f3"/>
      <w:r>
        <w:t xml:space="preserve">Рекомендации и возможности усиления защиты</w:t>
      </w:r>
      <w:r/>
    </w:p>
    <w:p>
      <w:pPr>
        <w:pStyle w:val="706"/>
        <w:pBdr/>
        <w:spacing/>
        <w:ind/>
        <w:rPr/>
      </w:pPr>
      <w:r>
        <w:t xml:space="preserve">Следующие пункты представляют возможности усиления защиты с</w:t>
      </w:r>
      <w:r>
        <w:t xml:space="preserve"> </w:t>
      </w:r>
      <w:r>
        <w:rPr>
          <w:b/>
          <w:bCs/>
        </w:rPr>
        <w:t xml:space="preserve">низким уровнем риска</w:t>
      </w:r>
      <w:r>
        <w:t xml:space="preserve">, которые могут дополнительно укрепить позицию TLS:</w:t>
      </w:r>
      <w:r/>
    </w:p>
    <w:p>
      <w:pPr>
        <w:pStyle w:val="716"/>
        <w:pBdr/>
        <w:spacing/>
        <w:ind/>
        <w:rPr/>
      </w:pPr>
      <w:r/>
      <w:bookmarkStart w:id="35" w:name="mag-дополнительные-улучшения"/>
      <w:r>
        <w:t xml:space="preserve">🔍 Дополнительные улучшения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HSTS Preload</w:t>
      </w:r>
      <w:r/>
    </w:p>
    <w:p>
      <w:pPr>
        <w:pStyle w:val="707"/>
        <w:numPr>
          <w:ilvl w:val="1"/>
          <w:numId w:val="9"/>
        </w:numPr>
        <w:pBdr/>
        <w:spacing/>
        <w:ind/>
        <w:rPr/>
      </w:pPr>
      <w:r>
        <w:t xml:space="preserve">Текущее состояние: Заголовок HSTS присутствует</w:t>
      </w:r>
      <w:r/>
    </w:p>
    <w:p>
      <w:pPr>
        <w:pStyle w:val="707"/>
        <w:numPr>
          <w:ilvl w:val="1"/>
          <w:numId w:val="9"/>
        </w:numPr>
        <w:pBdr/>
        <w:spacing/>
        <w:ind/>
        <w:rPr/>
      </w:pPr>
      <w:r>
        <w:t xml:space="preserve">Улучшение: Подать домен в списки предварительной загрузки браузеров</w:t>
      </w:r>
      <w:r/>
    </w:p>
    <w:p>
      <w:pPr>
        <w:pStyle w:val="707"/>
        <w:numPr>
          <w:ilvl w:val="1"/>
          <w:numId w:val="9"/>
        </w:numPr>
        <w:pBdr/>
        <w:spacing/>
        <w:ind/>
        <w:rPr/>
      </w:pPr>
      <w:r>
        <w:t xml:space="preserve">Преимущество: Дополнительное снижение риска понижения версии и MITM при первом подключении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OCSP Must-Staple</w:t>
      </w:r>
      <w:r/>
    </w:p>
    <w:p>
      <w:pPr>
        <w:pStyle w:val="707"/>
        <w:numPr>
          <w:ilvl w:val="1"/>
          <w:numId w:val="10"/>
        </w:numPr>
        <w:pBdr/>
        <w:spacing/>
        <w:ind/>
        <w:rPr/>
      </w:pPr>
      <w:r>
        <w:t xml:space="preserve">Текущее состояние: Сертификат не включает OCSP Must-Staple</w:t>
      </w:r>
      <w:r/>
    </w:p>
    <w:p>
      <w:pPr>
        <w:pStyle w:val="707"/>
        <w:numPr>
          <w:ilvl w:val="1"/>
          <w:numId w:val="10"/>
        </w:numPr>
        <w:pBdr/>
        <w:spacing/>
        <w:ind/>
        <w:rPr/>
      </w:pPr>
      <w:r>
        <w:t xml:space="preserve">Улучшение: Включить это расширение</w:t>
      </w:r>
      <w:r/>
    </w:p>
    <w:p>
      <w:pPr>
        <w:pStyle w:val="707"/>
        <w:numPr>
          <w:ilvl w:val="1"/>
          <w:numId w:val="10"/>
        </w:numPr>
        <w:pBdr/>
        <w:spacing/>
        <w:ind/>
        <w:rPr/>
      </w:pPr>
      <w:r>
        <w:t xml:space="preserve">Преимущество: Улучшить надежность проверки отзыва и конфиденциальность пользователей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Время жизни сессионных билетов</w:t>
      </w:r>
      <w:r/>
    </w:p>
    <w:p>
      <w:pPr>
        <w:pStyle w:val="707"/>
        <w:numPr>
          <w:ilvl w:val="1"/>
          <w:numId w:val="11"/>
        </w:numPr>
        <w:pBdr/>
        <w:spacing/>
        <w:ind/>
        <w:rPr/>
      </w:pPr>
      <w:r>
        <w:t xml:space="preserve">Текущее состояние: Зашифрованные сессионные билеты поддерживаются с прямой секретностью</w:t>
      </w:r>
      <w:r/>
    </w:p>
    <w:p>
      <w:pPr>
        <w:pStyle w:val="707"/>
        <w:numPr>
          <w:ilvl w:val="1"/>
          <w:numId w:val="11"/>
        </w:numPr>
        <w:pBdr/>
        <w:spacing/>
        <w:ind/>
        <w:rPr/>
      </w:pPr>
      <w:r>
        <w:t xml:space="preserve">Улучшение: Рассмотреть сокращение времени жизни билетов до ≤ 24 часов</w:t>
      </w:r>
      <w:r/>
    </w:p>
    <w:p>
      <w:pPr>
        <w:pStyle w:val="707"/>
        <w:numPr>
          <w:ilvl w:val="1"/>
          <w:numId w:val="11"/>
        </w:numPr>
        <w:pBdr/>
        <w:spacing/>
        <w:ind/>
        <w:rPr/>
      </w:pPr>
      <w:r>
        <w:t xml:space="preserve">Условие: Если политики ротации ключей позволяют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Цепочка доверия сертификатов</w:t>
      </w:r>
      <w:r/>
    </w:p>
    <w:p>
      <w:pPr>
        <w:pStyle w:val="707"/>
        <w:numPr>
          <w:ilvl w:val="1"/>
          <w:numId w:val="12"/>
        </w:numPr>
        <w:pBdr/>
        <w:spacing/>
        <w:ind/>
        <w:rPr/>
      </w:pPr>
      <w:r>
        <w:t xml:space="preserve">Текущее состояние: Действительная цепочка сертификатов, выданная доверенным публичным CA</w:t>
      </w:r>
      <w:r/>
    </w:p>
    <w:p>
      <w:pPr>
        <w:pStyle w:val="707"/>
        <w:numPr>
          <w:ilvl w:val="1"/>
          <w:numId w:val="12"/>
        </w:numPr>
        <w:pBdr/>
        <w:spacing/>
        <w:ind/>
        <w:rPr/>
      </w:pPr>
      <w:r>
        <w:t xml:space="preserve">Примечание: Облачное завершение TLS и интегрированные средства управления WAF обеспечивают дополнительную эшелонированную защиту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bookmarkEnd w:id="36"/>
      <w:r/>
    </w:p>
    <w:p>
      <w:pPr>
        <w:pStyle w:val="715"/>
        <w:pBdr/>
        <w:spacing/>
        <w:ind/>
        <w:rPr/>
      </w:pPr>
      <w:r/>
      <w:bookmarkStart w:id="37" w:name="сводка-оценки-рисков"/>
      <w:r>
        <w:t xml:space="preserve">Сводка оценки рисков</w:t>
      </w:r>
      <w:r/>
    </w:p>
    <w:tbl>
      <w:tblPr>
        <w:tblStyle w:val="728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Категория риска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Рейтинг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Обоснование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Конфиденциальность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Очень низкий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Сильное шифрование с современными шифрами AEAD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Целостность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Очень низкий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Аутентифицированное шифрование предотвращает подделку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Доступность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Очень низкий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Надежная поддержка протоколов обеспечивает подключение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Общий риск TLS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Очень низкий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Комплексные средства безопасности на месте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r/>
    </w:p>
    <w:p>
      <w:pPr>
        <w:pStyle w:val="715"/>
        <w:pBdr/>
        <w:spacing/>
        <w:ind/>
        <w:rPr/>
      </w:pPr>
      <w:r/>
      <w:bookmarkStart w:id="38" w:name="заключение-1"/>
      <w:r>
        <w:t xml:space="preserve">Заключение</w:t>
      </w:r>
      <w:r/>
    </w:p>
    <w:p>
      <w:pPr>
        <w:pStyle w:val="706"/>
        <w:pBdr/>
        <w:spacing/>
        <w:ind/>
        <w:rPr/>
      </w:pPr>
      <w:r>
        <w:t xml:space="preserve">Оцениваемая конфигурация TLS отражает</w:t>
      </w:r>
      <w:r>
        <w:t xml:space="preserve"> </w:t>
      </w:r>
      <w:r>
        <w:rPr>
          <w:b/>
          <w:bCs/>
        </w:rPr>
        <w:t xml:space="preserve">текущие лучшие практики</w:t>
      </w:r>
      <w:r>
        <w:t xml:space="preserve"> </w:t>
      </w:r>
      <w:r>
        <w:t xml:space="preserve">для высокозащищенных веб-приложений в 2026 году. Реализация демонстрирует:</w:t>
      </w:r>
      <w:r/>
    </w:p>
    <w:p>
      <w:pPr>
        <w:pStyle w:val="707"/>
        <w:numPr>
          <w:ilvl w:val="0"/>
          <w:numId w:val="13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Предпочтение современных протоколов</w:t>
      </w:r>
      <w:r>
        <w:t xml:space="preserve">: TLS 1.3 приоритизирован с безопасным резервом TLS 1.2</w:t>
      </w:r>
      <w:r/>
    </w:p>
    <w:p>
      <w:pPr>
        <w:pStyle w:val="707"/>
        <w:numPr>
          <w:ilvl w:val="0"/>
          <w:numId w:val="13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Сильная криптография</w:t>
      </w:r>
      <w:r>
        <w:t xml:space="preserve">: Наборы шифров AEAD с обменом ключами X25519</w:t>
      </w:r>
      <w:r/>
    </w:p>
    <w:p>
      <w:pPr>
        <w:pStyle w:val="707"/>
        <w:numPr>
          <w:ilvl w:val="0"/>
          <w:numId w:val="13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Устойчивость к атакам</w:t>
      </w:r>
      <w:r>
        <w:t xml:space="preserve">: Защита от известных уязвимостей протокола</w:t>
      </w:r>
      <w:r/>
    </w:p>
    <w:p>
      <w:pPr>
        <w:pStyle w:val="707"/>
        <w:numPr>
          <w:ilvl w:val="0"/>
          <w:numId w:val="13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Операционная зрелость</w:t>
      </w:r>
      <w:r>
        <w:t xml:space="preserve">: Правильное упорядочение шифров и управление безопасностью</w:t>
      </w:r>
      <w:r/>
    </w:p>
    <w:p>
      <w:pPr>
        <w:pStyle w:val="724"/>
        <w:pBdr/>
        <w:spacing/>
        <w:ind/>
        <w:rPr/>
      </w:pPr>
      <w:r>
        <w:rPr>
          <w:b/>
          <w:bCs/>
        </w:rPr>
        <w:t xml:space="preserve">Вывод оценки</w:t>
      </w:r>
      <w:r>
        <w:t xml:space="preserve">: Срочные меры по исправлению не требуются. Реализация документированных рекомендаций по усилению защиты с низким уровнем риска дополнительно поднимет конфигурацию до образцового уровня безопасности.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8"/>
      <w:r/>
    </w:p>
    <w:p>
      <w:pPr>
        <w:pStyle w:val="715"/>
        <w:pBdr/>
        <w:spacing/>
        <w:ind/>
        <w:rPr/>
      </w:pPr>
      <w:r/>
      <w:bookmarkStart w:id="39" w:name="метаданные-оценки"/>
      <w:r>
        <w:t xml:space="preserve">Метаданные оценки</w:t>
      </w:r>
      <w:r/>
    </w:p>
    <w:tbl>
      <w:tblPr>
        <w:tblStyle w:val="728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Поле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Значение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Подготовлено для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Портфолио публичной безопасности / Демонстрация аудита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Классификация оценки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Информационная / Валидация лучших практик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Дата оценки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Январь 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Версия документа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Следующий обзор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07"/>
              <w:pBdr/>
              <w:spacing/>
              <w:ind/>
              <w:jc w:val="left"/>
              <w:rPr/>
            </w:pPr>
            <w:r>
              <w:t xml:space="preserve">Январь 2027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06"/>
        <w:pBdr/>
        <w:spacing/>
        <w:ind/>
        <w:rPr/>
      </w:pPr>
      <w:r>
        <w:rPr>
          <w:i/>
          <w:iCs/>
        </w:rPr>
        <w:t xml:space="preserve">Данный документ представляет комплексную техническую оценку средств безопасности TLS и предназначен для специалистов по безопасности и технических аудиторов.</w:t>
      </w:r>
      <w:bookmarkEnd w:id="39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27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7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7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7"/>
    <w:link w:val="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7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7"/>
    <w:link w:val="7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7"/>
    <w:link w:val="72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7"/>
    <w:link w:val="7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7"/>
    <w:link w:val="7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7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7"/>
    <w:link w:val="7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4"/>
    <w:next w:val="7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4"/>
    <w:next w:val="7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7"/>
    <w:link w:val="176"/>
    <w:uiPriority w:val="99"/>
    <w:pPr>
      <w:pBdr/>
      <w:spacing/>
      <w:ind/>
    </w:pPr>
  </w:style>
  <w:style w:type="paragraph" w:styleId="178">
    <w:name w:val="Footer"/>
    <w:basedOn w:val="70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7"/>
    <w:link w:val="178"/>
    <w:uiPriority w:val="99"/>
    <w:pPr>
      <w:pBdr/>
      <w:spacing/>
      <w:ind/>
    </w:pPr>
  </w:style>
  <w:style w:type="character" w:styleId="182">
    <w:name w:val="Footnote Text Char"/>
    <w:basedOn w:val="727"/>
    <w:link w:val="72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704" w:default="1">
    <w:name w:val="Normal"/>
    <w:qFormat/>
    <w:pPr>
      <w:pBdr/>
      <w:spacing/>
      <w:ind/>
    </w:pPr>
  </w:style>
  <w:style w:type="paragraph" w:styleId="705">
    <w:name w:val="Body Text"/>
    <w:basedOn w:val="704"/>
    <w:link w:val="736"/>
    <w:qFormat/>
    <w:pPr>
      <w:pBdr/>
      <w:spacing w:after="180" w:before="180"/>
      <w:ind/>
    </w:pPr>
  </w:style>
  <w:style w:type="paragraph" w:styleId="706" w:customStyle="1">
    <w:name w:val="First Paragraph"/>
    <w:basedOn w:val="705"/>
    <w:next w:val="705"/>
    <w:qFormat/>
    <w:pPr>
      <w:pBdr/>
      <w:spacing/>
      <w:ind/>
    </w:pPr>
  </w:style>
  <w:style w:type="paragraph" w:styleId="707" w:customStyle="1">
    <w:name w:val="Compact"/>
    <w:basedOn w:val="705"/>
    <w:qFormat/>
    <w:pPr>
      <w:pBdr/>
      <w:spacing w:after="36" w:before="36"/>
      <w:ind/>
    </w:pPr>
  </w:style>
  <w:style w:type="paragraph" w:styleId="708">
    <w:name w:val="Title"/>
    <w:basedOn w:val="704"/>
    <w:next w:val="70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9">
    <w:name w:val="Subtitle"/>
    <w:basedOn w:val="708"/>
    <w:next w:val="705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10" w:customStyle="1">
    <w:name w:val="Author"/>
    <w:next w:val="705"/>
    <w:qFormat/>
    <w:pPr>
      <w:keepNext w:val="true"/>
      <w:keepLines w:val="true"/>
      <w:pBdr/>
      <w:spacing/>
      <w:ind/>
      <w:jc w:val="center"/>
    </w:pPr>
  </w:style>
  <w:style w:type="paragraph" w:styleId="711">
    <w:name w:val="Date"/>
    <w:next w:val="705"/>
    <w:qFormat/>
    <w:pPr>
      <w:keepNext w:val="true"/>
      <w:keepLines w:val="true"/>
      <w:pBdr/>
      <w:spacing/>
      <w:ind/>
      <w:jc w:val="center"/>
    </w:pPr>
  </w:style>
  <w:style w:type="paragraph" w:styleId="712" w:customStyle="1">
    <w:name w:val="Abstract Title"/>
    <w:basedOn w:val="704"/>
    <w:next w:val="713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13" w:customStyle="1">
    <w:name w:val="Abstract"/>
    <w:basedOn w:val="704"/>
    <w:next w:val="70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4">
    <w:name w:val="Bibliography"/>
    <w:basedOn w:val="704"/>
    <w:next w:val="714"/>
    <w:qFormat/>
    <w:pPr>
      <w:pBdr/>
      <w:spacing/>
      <w:ind/>
    </w:pPr>
  </w:style>
  <w:style w:type="paragraph" w:styleId="715">
    <w:name w:val="Heading 1"/>
    <w:basedOn w:val="704"/>
    <w:next w:val="70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16">
    <w:name w:val="Heading 2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17">
    <w:name w:val="Heading 3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18">
    <w:name w:val="Heading 4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9">
    <w:name w:val="Heading 5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20">
    <w:name w:val="Heading 6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1">
    <w:name w:val="Heading 7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2">
    <w:name w:val="Heading 8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3">
    <w:name w:val="Heading 9"/>
    <w:basedOn w:val="704"/>
    <w:next w:val="70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4">
    <w:name w:val="Block Text"/>
    <w:basedOn w:val="705"/>
    <w:next w:val="705"/>
    <w:uiPriority w:val="9"/>
    <w:unhideWhenUsed/>
    <w:qFormat/>
    <w:pPr>
      <w:pBdr/>
      <w:spacing w:after="100" w:before="100"/>
      <w:ind w:right="480" w:firstLine="0" w:left="480"/>
    </w:pPr>
  </w:style>
  <w:style w:type="paragraph" w:styleId="725">
    <w:name w:val="footnote text"/>
    <w:basedOn w:val="704"/>
    <w:next w:val="725"/>
    <w:uiPriority w:val="9"/>
    <w:unhideWhenUsed/>
    <w:qFormat/>
    <w:pPr>
      <w:pBdr/>
      <w:spacing/>
      <w:ind/>
    </w:pPr>
  </w:style>
  <w:style w:type="paragraph" w:styleId="726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27" w:default="1">
    <w:name w:val="Default Paragraph Font"/>
    <w:semiHidden/>
    <w:unhideWhenUsed/>
    <w:pPr>
      <w:pBdr/>
      <w:spacing/>
      <w:ind/>
    </w:pPr>
  </w:style>
  <w:style w:type="table" w:styleId="72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 w:customStyle="1">
    <w:name w:val="Definition Term"/>
    <w:basedOn w:val="704"/>
    <w:next w:val="730"/>
    <w:pPr>
      <w:keepNext w:val="true"/>
      <w:keepLines w:val="true"/>
      <w:pBdr/>
      <w:spacing w:after="0"/>
      <w:ind/>
    </w:pPr>
    <w:rPr>
      <w:b/>
    </w:rPr>
  </w:style>
  <w:style w:type="paragraph" w:styleId="730" w:customStyle="1">
    <w:name w:val="Definition"/>
    <w:basedOn w:val="704"/>
    <w:pPr>
      <w:pBdr/>
      <w:spacing/>
      <w:ind/>
    </w:pPr>
  </w:style>
  <w:style w:type="paragraph" w:styleId="731">
    <w:name w:val="Caption"/>
    <w:basedOn w:val="704"/>
    <w:link w:val="736"/>
    <w:pPr>
      <w:pBdr/>
      <w:spacing w:after="120" w:before="0"/>
      <w:ind/>
    </w:pPr>
    <w:rPr>
      <w:i/>
    </w:rPr>
  </w:style>
  <w:style w:type="paragraph" w:styleId="732" w:customStyle="1">
    <w:name w:val="Table Caption"/>
    <w:basedOn w:val="731"/>
    <w:pPr>
      <w:keepNext w:val="true"/>
      <w:pBdr/>
      <w:spacing/>
      <w:ind/>
    </w:pPr>
  </w:style>
  <w:style w:type="paragraph" w:styleId="733" w:customStyle="1">
    <w:name w:val="Image Caption"/>
    <w:basedOn w:val="731"/>
    <w:pPr>
      <w:pBdr/>
      <w:spacing/>
      <w:ind/>
    </w:pPr>
  </w:style>
  <w:style w:type="paragraph" w:styleId="734" w:customStyle="1">
    <w:name w:val="Figure"/>
    <w:basedOn w:val="704"/>
    <w:pPr>
      <w:pBdr/>
      <w:spacing/>
      <w:ind/>
    </w:pPr>
  </w:style>
  <w:style w:type="paragraph" w:styleId="735" w:customStyle="1">
    <w:name w:val="Captioned Figure"/>
    <w:basedOn w:val="734"/>
    <w:pPr>
      <w:keepNext w:val="true"/>
      <w:pBdr/>
      <w:spacing/>
      <w:ind/>
    </w:pPr>
  </w:style>
  <w:style w:type="character" w:styleId="736" w:customStyle="1">
    <w:name w:val="Body Text Char"/>
    <w:basedOn w:val="727"/>
    <w:link w:val="705"/>
    <w:pPr>
      <w:pBdr/>
      <w:spacing/>
      <w:ind/>
    </w:pPr>
  </w:style>
  <w:style w:type="character" w:styleId="737" w:customStyle="1">
    <w:name w:val="Verbatim Char"/>
    <w:basedOn w:val="736"/>
    <w:pPr>
      <w:pBdr/>
      <w:spacing/>
      <w:ind/>
    </w:pPr>
    <w:rPr>
      <w:rFonts w:ascii="Consolas" w:hAnsi="Consolas"/>
      <w:sz w:val="22"/>
    </w:rPr>
  </w:style>
  <w:style w:type="character" w:styleId="738" w:customStyle="1">
    <w:name w:val="Section Number"/>
    <w:basedOn w:val="736"/>
    <w:pPr>
      <w:pBdr/>
      <w:spacing/>
      <w:ind/>
    </w:pPr>
  </w:style>
  <w:style w:type="character" w:styleId="739">
    <w:name w:val="footnote reference"/>
    <w:basedOn w:val="736"/>
    <w:pPr>
      <w:pBdr/>
      <w:spacing/>
      <w:ind/>
    </w:pPr>
    <w:rPr>
      <w:vertAlign w:val="superscript"/>
    </w:rPr>
  </w:style>
  <w:style w:type="character" w:styleId="740">
    <w:name w:val="Hyperlink"/>
    <w:basedOn w:val="736"/>
    <w:pPr>
      <w:pBdr/>
      <w:spacing/>
      <w:ind/>
    </w:pPr>
    <w:rPr>
      <w:color w:val="4f81bd" w:themeColor="accent1"/>
    </w:rPr>
  </w:style>
  <w:style w:type="paragraph" w:styleId="741">
    <w:name w:val="TOC Heading"/>
    <w:basedOn w:val="715"/>
    <w:next w:val="70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2" w:customStyle="1">
    <w:name w:val="Source Code"/>
    <w:basedOn w:val="704"/>
    <w:link w:val="737"/>
    <w:pPr>
      <w:pBdr/>
      <w:spacing/>
      <w:ind/>
    </w:pPr>
  </w:style>
  <w:style w:type="character" w:styleId="743" w:customStyle="1">
    <w:name w:val="KeywordTok"/>
    <w:basedOn w:val="737"/>
    <w:pPr>
      <w:pBdr/>
      <w:spacing/>
      <w:ind/>
    </w:pPr>
    <w:rPr>
      <w:b/>
      <w:color w:val="007020"/>
    </w:rPr>
  </w:style>
  <w:style w:type="character" w:styleId="744" w:customStyle="1">
    <w:name w:val="DataTypeTok"/>
    <w:basedOn w:val="737"/>
    <w:pPr>
      <w:pBdr/>
      <w:spacing/>
      <w:ind/>
    </w:pPr>
    <w:rPr>
      <w:color w:val="902000"/>
    </w:rPr>
  </w:style>
  <w:style w:type="character" w:styleId="745" w:customStyle="1">
    <w:name w:val="DecValTok"/>
    <w:basedOn w:val="737"/>
    <w:pPr>
      <w:pBdr/>
      <w:spacing/>
      <w:ind/>
    </w:pPr>
    <w:rPr>
      <w:color w:val="40a070"/>
    </w:rPr>
  </w:style>
  <w:style w:type="character" w:styleId="746" w:customStyle="1">
    <w:name w:val="BaseNTok"/>
    <w:basedOn w:val="737"/>
    <w:pPr>
      <w:pBdr/>
      <w:spacing/>
      <w:ind/>
    </w:pPr>
    <w:rPr>
      <w:color w:val="40a070"/>
    </w:rPr>
  </w:style>
  <w:style w:type="character" w:styleId="747" w:customStyle="1">
    <w:name w:val="FloatTok"/>
    <w:basedOn w:val="737"/>
    <w:pPr>
      <w:pBdr/>
      <w:spacing/>
      <w:ind/>
    </w:pPr>
    <w:rPr>
      <w:color w:val="40a070"/>
    </w:rPr>
  </w:style>
  <w:style w:type="character" w:styleId="748" w:customStyle="1">
    <w:name w:val="ConstantTok"/>
    <w:basedOn w:val="737"/>
    <w:pPr>
      <w:pBdr/>
      <w:spacing/>
      <w:ind/>
    </w:pPr>
    <w:rPr>
      <w:color w:val="880000"/>
    </w:rPr>
  </w:style>
  <w:style w:type="character" w:styleId="749" w:customStyle="1">
    <w:name w:val="CharTok"/>
    <w:basedOn w:val="737"/>
    <w:pPr>
      <w:pBdr/>
      <w:spacing/>
      <w:ind/>
    </w:pPr>
    <w:rPr>
      <w:color w:val="4070a0"/>
    </w:rPr>
  </w:style>
  <w:style w:type="character" w:styleId="750" w:customStyle="1">
    <w:name w:val="SpecialCharTok"/>
    <w:basedOn w:val="737"/>
    <w:pPr>
      <w:pBdr/>
      <w:spacing/>
      <w:ind/>
    </w:pPr>
    <w:rPr>
      <w:color w:val="4070a0"/>
    </w:rPr>
  </w:style>
  <w:style w:type="character" w:styleId="751" w:customStyle="1">
    <w:name w:val="StringTok"/>
    <w:basedOn w:val="737"/>
    <w:pPr>
      <w:pBdr/>
      <w:spacing/>
      <w:ind/>
    </w:pPr>
    <w:rPr>
      <w:color w:val="4070a0"/>
    </w:rPr>
  </w:style>
  <w:style w:type="character" w:styleId="752" w:customStyle="1">
    <w:name w:val="VerbatimStringTok"/>
    <w:basedOn w:val="737"/>
    <w:pPr>
      <w:pBdr/>
      <w:spacing/>
      <w:ind/>
    </w:pPr>
    <w:rPr>
      <w:color w:val="4070a0"/>
    </w:rPr>
  </w:style>
  <w:style w:type="character" w:styleId="753" w:customStyle="1">
    <w:name w:val="SpecialStringTok"/>
    <w:basedOn w:val="737"/>
    <w:pPr>
      <w:pBdr/>
      <w:spacing/>
      <w:ind/>
    </w:pPr>
    <w:rPr>
      <w:color w:val="bb6688"/>
    </w:rPr>
  </w:style>
  <w:style w:type="character" w:styleId="754" w:customStyle="1">
    <w:name w:val="ImportTok"/>
    <w:basedOn w:val="737"/>
    <w:pPr>
      <w:pBdr/>
      <w:spacing/>
      <w:ind/>
    </w:pPr>
    <w:rPr>
      <w:b/>
      <w:color w:val="008000"/>
    </w:rPr>
  </w:style>
  <w:style w:type="character" w:styleId="755" w:customStyle="1">
    <w:name w:val="CommentTok"/>
    <w:basedOn w:val="737"/>
    <w:pPr>
      <w:pBdr/>
      <w:spacing/>
      <w:ind/>
    </w:pPr>
    <w:rPr>
      <w:i/>
      <w:color w:val="60a0b0"/>
    </w:rPr>
  </w:style>
  <w:style w:type="character" w:styleId="756" w:customStyle="1">
    <w:name w:val="DocumentationTok"/>
    <w:basedOn w:val="737"/>
    <w:pPr>
      <w:pBdr/>
      <w:spacing/>
      <w:ind/>
    </w:pPr>
    <w:rPr>
      <w:i/>
      <w:color w:val="ba2121"/>
    </w:rPr>
  </w:style>
  <w:style w:type="character" w:styleId="757" w:customStyle="1">
    <w:name w:val="AnnotationTok"/>
    <w:basedOn w:val="737"/>
    <w:pPr>
      <w:pBdr/>
      <w:spacing/>
      <w:ind/>
    </w:pPr>
    <w:rPr>
      <w:b/>
      <w:i/>
      <w:color w:val="60a0b0"/>
    </w:rPr>
  </w:style>
  <w:style w:type="character" w:styleId="758" w:customStyle="1">
    <w:name w:val="CommentVarTok"/>
    <w:basedOn w:val="737"/>
    <w:pPr>
      <w:pBdr/>
      <w:spacing/>
      <w:ind/>
    </w:pPr>
    <w:rPr>
      <w:b/>
      <w:i/>
      <w:color w:val="60a0b0"/>
    </w:rPr>
  </w:style>
  <w:style w:type="character" w:styleId="759" w:customStyle="1">
    <w:name w:val="OtherTok"/>
    <w:basedOn w:val="737"/>
    <w:pPr>
      <w:pBdr/>
      <w:spacing/>
      <w:ind/>
    </w:pPr>
    <w:rPr>
      <w:color w:val="007020"/>
    </w:rPr>
  </w:style>
  <w:style w:type="character" w:styleId="760" w:customStyle="1">
    <w:name w:val="FunctionTok"/>
    <w:basedOn w:val="737"/>
    <w:pPr>
      <w:pBdr/>
      <w:spacing/>
      <w:ind/>
    </w:pPr>
    <w:rPr>
      <w:color w:val="06287e"/>
    </w:rPr>
  </w:style>
  <w:style w:type="character" w:styleId="761" w:customStyle="1">
    <w:name w:val="VariableTok"/>
    <w:basedOn w:val="737"/>
    <w:pPr>
      <w:pBdr/>
      <w:spacing/>
      <w:ind/>
    </w:pPr>
    <w:rPr>
      <w:color w:val="19177c"/>
    </w:rPr>
  </w:style>
  <w:style w:type="character" w:styleId="762" w:customStyle="1">
    <w:name w:val="ControlFlowTok"/>
    <w:basedOn w:val="737"/>
    <w:pPr>
      <w:pBdr/>
      <w:spacing/>
      <w:ind/>
    </w:pPr>
    <w:rPr>
      <w:b/>
      <w:color w:val="007020"/>
    </w:rPr>
  </w:style>
  <w:style w:type="character" w:styleId="763" w:customStyle="1">
    <w:name w:val="OperatorTok"/>
    <w:basedOn w:val="737"/>
    <w:pPr>
      <w:pBdr/>
      <w:spacing/>
      <w:ind/>
    </w:pPr>
    <w:rPr>
      <w:color w:val="666666"/>
    </w:rPr>
  </w:style>
  <w:style w:type="character" w:styleId="764" w:customStyle="1">
    <w:name w:val="BuiltInTok"/>
    <w:basedOn w:val="737"/>
    <w:pPr>
      <w:pBdr/>
      <w:spacing/>
      <w:ind/>
    </w:pPr>
    <w:rPr>
      <w:color w:val="008000"/>
    </w:rPr>
  </w:style>
  <w:style w:type="character" w:styleId="765" w:customStyle="1">
    <w:name w:val="ExtensionTok"/>
    <w:basedOn w:val="737"/>
    <w:pPr>
      <w:pBdr/>
      <w:spacing/>
      <w:ind/>
    </w:pPr>
  </w:style>
  <w:style w:type="character" w:styleId="766" w:customStyle="1">
    <w:name w:val="PreprocessorTok"/>
    <w:basedOn w:val="737"/>
    <w:pPr>
      <w:pBdr/>
      <w:spacing/>
      <w:ind/>
    </w:pPr>
    <w:rPr>
      <w:color w:val="bc7a00"/>
    </w:rPr>
  </w:style>
  <w:style w:type="character" w:styleId="767" w:customStyle="1">
    <w:name w:val="AttributeTok"/>
    <w:basedOn w:val="737"/>
    <w:pPr>
      <w:pBdr/>
      <w:spacing/>
      <w:ind/>
    </w:pPr>
    <w:rPr>
      <w:color w:val="7d9029"/>
    </w:rPr>
  </w:style>
  <w:style w:type="character" w:styleId="768" w:customStyle="1">
    <w:name w:val="RegionMarkerTok"/>
    <w:basedOn w:val="737"/>
    <w:pPr>
      <w:pBdr/>
      <w:spacing/>
      <w:ind/>
    </w:pPr>
  </w:style>
  <w:style w:type="character" w:styleId="769" w:customStyle="1">
    <w:name w:val="InformationTok"/>
    <w:basedOn w:val="737"/>
    <w:pPr>
      <w:pBdr/>
      <w:spacing/>
      <w:ind/>
    </w:pPr>
    <w:rPr>
      <w:b/>
      <w:i/>
      <w:color w:val="60a0b0"/>
    </w:rPr>
  </w:style>
  <w:style w:type="character" w:styleId="770" w:customStyle="1">
    <w:name w:val="WarningTok"/>
    <w:basedOn w:val="737"/>
    <w:pPr>
      <w:pBdr/>
      <w:spacing/>
      <w:ind/>
    </w:pPr>
    <w:rPr>
      <w:b/>
      <w:i/>
      <w:color w:val="60a0b0"/>
    </w:rPr>
  </w:style>
  <w:style w:type="character" w:styleId="771" w:customStyle="1">
    <w:name w:val="AlertTok"/>
    <w:basedOn w:val="737"/>
    <w:pPr>
      <w:pBdr/>
      <w:spacing/>
      <w:ind/>
    </w:pPr>
    <w:rPr>
      <w:b/>
      <w:color w:val="ff0000"/>
    </w:rPr>
  </w:style>
  <w:style w:type="character" w:styleId="772" w:customStyle="1">
    <w:name w:val="ErrorTok"/>
    <w:basedOn w:val="737"/>
    <w:pPr>
      <w:pBdr/>
      <w:spacing/>
      <w:ind/>
    </w:pPr>
    <w:rPr>
      <w:b/>
      <w:color w:val="ff0000"/>
    </w:rPr>
  </w:style>
  <w:style w:type="character" w:styleId="773" w:customStyle="1">
    <w:name w:val="NormalTok"/>
    <w:basedOn w:val="73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оценке безопасности TLS и криптографических средств</dc:title>
  <dc:creator>Команда оценки безопасности</dc:creator>
  <cp:keywords/>
  <cp:revision>1</cp:revision>
  <dcterms:created xsi:type="dcterms:W3CDTF">2026-01-29T16:19:46Z</dcterms:created>
  <dcterms:modified xsi:type="dcterms:W3CDTF">2026-01-29T16:23:12Z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2026-01-29</vt:lpwstr>
  </property>
</Properties>
</file>