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itle"/>
      </w:pPr>
      <w:r>
        <w:t xml:space="preserve">Security</w:t>
      </w:r>
      <w:r>
        <w:t xml:space="preserve"> </w:t>
      </w:r>
      <w:r>
        <w:t xml:space="preserve">Compliance</w:t>
      </w:r>
      <w:r>
        <w:t xml:space="preserve"> </w:t>
      </w:r>
      <w:r>
        <w:t xml:space="preserve">Report:</w:t>
      </w:r>
      <w:r>
        <w:t xml:space="preserve"> </w:t>
      </w:r>
      <w:r>
        <w:t xml:space="preserve">Analysis</w:t>
      </w:r>
      <w:r>
        <w:t xml:space="preserve"> </w:t>
      </w:r>
      <w:r>
        <w:t xml:space="preserve">of</w:t>
      </w:r>
      <w:r>
        <w:t xml:space="preserve"> </w:t>
      </w:r>
      <w:r>
        <w:t xml:space="preserve">example.com</w:t>
      </w:r>
      <w:r>
        <w:t xml:space="preserve"> </w:t>
      </w:r>
      <w:r>
        <w:t xml:space="preserve">Website</w:t>
      </w:r>
    </w:p>
    <w:p>
      <w:pPr>
        <w:pStyle w:val="Author"/>
      </w:pPr>
      <w:r>
        <w:t xml:space="preserve">Information</w:t>
      </w:r>
      <w:r>
        <w:t xml:space="preserve"> </w:t>
      </w:r>
      <w:r>
        <w:t xml:space="preserve">Security</w:t>
      </w:r>
      <w:r>
        <w:t xml:space="preserve"> </w:t>
      </w:r>
      <w:r>
        <w:t xml:space="preserve">Specialist</w:t>
      </w:r>
    </w:p>
    <w:p>
      <w:pPr>
        <w:pStyle w:val="Date"/>
      </w:pPr>
      <w:r>
        <w:t xml:space="preserve">2025-12-31</w:t>
      </w:r>
    </w:p>
    <w:bookmarkStart w:id="21" w:name="executive-summary"/>
    <w:p>
      <w:pPr>
        <w:pStyle w:val="Heading1"/>
      </w:pPr>
      <w:r>
        <w:t xml:space="preserve">Executive Summary</w:t>
      </w:r>
    </w:p>
    <w:p>
      <w:pPr>
        <w:pStyle w:val="FirstParagraph"/>
      </w:pPr>
      <w:r>
        <w:t xml:space="preserve">This report presents a comprehensive compliance analysis of the website</w:t>
      </w:r>
      <w:r>
        <w:t xml:space="preserve"> </w:t>
      </w:r>
      <w:hyperlink r:id="rId8">
        <w:r>
          <w:rPr>
            <w:rStyle w:val="Hyperlink"/>
          </w:rPr>
          <w:t xml:space="preserve">https://example.com</w:t>
        </w:r>
      </w:hyperlink>
      <w:r>
        <w:t xml:space="preserve"> </w:t>
      </w:r>
      <w:r>
        <w:t xml:space="preserve">against international security standards including OWASP Top 10 2021, NIST Cybersecurity Framework 2.0, and Microsoft Security Baseline recommendations. The analysis is based on automated security scanning results performed on December 30, 2025, using OWASP ZAP (Zed Attack Proxy) version 2.17.0 by Checkmarx.</w:t>
      </w:r>
    </w:p>
    <w:p>
      <w:pPr>
        <w:pStyle w:val="BlockText"/>
      </w:pPr>
      <w:r>
        <w:rPr>
          <w:b/>
          <w:bCs/>
        </w:rPr>
        <w:t xml:space="preserve">CRITICAL WARNING</w:t>
      </w:r>
      <w:r>
        <w:t xml:space="preserve">: Personal Identifiable Information (PII) disclosure detected - immediate intervention required!</w:t>
      </w:r>
    </w:p>
    <w:p>
      <w:pPr>
        <w:pStyle w:val="FirstParagraph"/>
      </w:pPr>
      <w:r>
        <w:rPr>
          <w:b/>
          <w:bCs/>
        </w:rPr>
        <w:t xml:space="preserve">Key Findings:</w:t>
      </w:r>
    </w:p>
    <w:p>
      <w:pPr>
        <w:pStyle w:val="Compact"/>
        <w:numPr>
          <w:ilvl w:val="0"/>
          <w:numId w:val="1001"/>
        </w:numPr>
      </w:pPr>
      <w:r>
        <w:rPr>
          <w:b/>
          <w:bCs/>
        </w:rPr>
        <w:t xml:space="preserve">29 security alerts</w:t>
      </w:r>
      <w:r>
        <w:t xml:space="preserve"> </w:t>
      </w:r>
      <w:r>
        <w:t xml:space="preserve">identified across various criticality levels</w:t>
      </w:r>
    </w:p>
    <w:p>
      <w:pPr>
        <w:pStyle w:val="Compact"/>
        <w:numPr>
          <w:ilvl w:val="0"/>
          <w:numId w:val="1001"/>
        </w:numPr>
      </w:pPr>
      <w:r>
        <w:rPr>
          <w:b/>
          <w:bCs/>
        </w:rPr>
        <w:t xml:space="preserve">Critical vulnerability</w:t>
      </w:r>
      <w:r>
        <w:t xml:space="preserve"> </w:t>
      </w:r>
      <w:r>
        <w:t xml:space="preserve">of PII disclosure detected</w:t>
      </w:r>
    </w:p>
    <w:p>
      <w:pPr>
        <w:pStyle w:val="Compact"/>
        <w:numPr>
          <w:ilvl w:val="0"/>
          <w:numId w:val="1001"/>
        </w:numPr>
      </w:pPr>
      <w:r>
        <w:rPr>
          <w:b/>
          <w:bCs/>
        </w:rPr>
        <w:t xml:space="preserve">Absence of basic security controls</w:t>
      </w:r>
      <w:r>
        <w:t xml:space="preserve"> </w:t>
      </w:r>
      <w:r>
        <w:t xml:space="preserve">for web application protection</w:t>
      </w:r>
    </w:p>
    <w:p>
      <w:pPr>
        <w:pStyle w:val="Compact"/>
        <w:numPr>
          <w:ilvl w:val="0"/>
          <w:numId w:val="1001"/>
        </w:numPr>
      </w:pPr>
      <w:r>
        <w:t xml:space="preserve">Website</w:t>
      </w:r>
      <w:r>
        <w:t xml:space="preserve"> </w:t>
      </w:r>
      <w:r>
        <w:rPr>
          <w:b/>
          <w:bCs/>
        </w:rPr>
        <w:t xml:space="preserve">does not comply</w:t>
      </w:r>
      <w:r>
        <w:t xml:space="preserve"> </w:t>
      </w:r>
      <w:r>
        <w:t xml:space="preserve">with fundamental requirements of international security standards</w:t>
      </w:r>
    </w:p>
    <w:bookmarkEnd w:id="21"/>
    <w:bookmarkStart w:id="22" w:name="table-of-contents"/>
    <w:p>
      <w:pPr>
        <w:pStyle w:val="Heading1"/>
      </w:pPr>
      <w:r>
        <w:t xml:space="preserve">Table of Contents</w:t>
      </w:r>
    </w:p>
    <w:p>
      <w:pPr>
        <w:pStyle w:val="Compact"/>
        <w:numPr>
          <w:ilvl w:val="0"/>
          <w:numId w:val="1002"/>
        </w:numPr>
      </w:pPr>
      <w:hyperlink w:anchor="analysis-methodology">
        <w:r>
          <w:rPr>
            <w:rStyle w:val="Hyperlink"/>
          </w:rPr>
          <w:t xml:space="preserve">Analysis Methodology</w:t>
        </w:r>
      </w:hyperlink>
    </w:p>
    <w:p>
      <w:pPr>
        <w:pStyle w:val="Compact"/>
        <w:numPr>
          <w:ilvl w:val="0"/>
          <w:numId w:val="1002"/>
        </w:numPr>
      </w:pPr>
      <w:hyperlink w:anchor="detailed-vulnerability-analysis">
        <w:r>
          <w:rPr>
            <w:rStyle w:val="Hyperlink"/>
          </w:rPr>
          <w:t xml:space="preserve">Detailed Vulnerability Analysis</w:t>
        </w:r>
      </w:hyperlink>
    </w:p>
    <w:p>
      <w:pPr>
        <w:pStyle w:val="Compact"/>
        <w:numPr>
          <w:ilvl w:val="0"/>
          <w:numId w:val="1002"/>
        </w:numPr>
      </w:pPr>
      <w:hyperlink w:anchor="owasp-top-10-2021-compliance-analysis">
        <w:r>
          <w:rPr>
            <w:rStyle w:val="Hyperlink"/>
          </w:rPr>
          <w:t xml:space="preserve">OWASP Top 10 2021 Compliance Analysis</w:t>
        </w:r>
      </w:hyperlink>
    </w:p>
    <w:p>
      <w:pPr>
        <w:pStyle w:val="Compact"/>
        <w:numPr>
          <w:ilvl w:val="0"/>
          <w:numId w:val="1002"/>
        </w:numPr>
      </w:pPr>
      <w:hyperlink w:anchor="X1d14538dfe98314983f2da70c029a5fa37675b4">
        <w:r>
          <w:rPr>
            <w:rStyle w:val="Hyperlink"/>
          </w:rPr>
          <w:t xml:space="preserve">NIST Cybersecurity Framework 2.0 Compliance</w:t>
        </w:r>
      </w:hyperlink>
    </w:p>
    <w:p>
      <w:pPr>
        <w:pStyle w:val="Compact"/>
        <w:numPr>
          <w:ilvl w:val="0"/>
          <w:numId w:val="1002"/>
        </w:numPr>
      </w:pPr>
      <w:hyperlink w:anchor="microsoft-security-baseline-compliance">
        <w:r>
          <w:rPr>
            <w:rStyle w:val="Hyperlink"/>
          </w:rPr>
          <w:t xml:space="preserve">Microsoft Security Baseline Compliance</w:t>
        </w:r>
      </w:hyperlink>
    </w:p>
    <w:p>
      <w:pPr>
        <w:pStyle w:val="Compact"/>
        <w:numPr>
          <w:ilvl w:val="0"/>
          <w:numId w:val="1002"/>
        </w:numPr>
      </w:pPr>
      <w:hyperlink w:anchor="vulnerability-remediation-plan">
        <w:r>
          <w:rPr>
            <w:rStyle w:val="Hyperlink"/>
          </w:rPr>
          <w:t xml:space="preserve">Vulnerability Remediation Plan</w:t>
        </w:r>
      </w:hyperlink>
    </w:p>
    <w:p>
      <w:pPr>
        <w:pStyle w:val="Compact"/>
        <w:numPr>
          <w:ilvl w:val="0"/>
          <w:numId w:val="1002"/>
        </w:numPr>
      </w:pPr>
      <w:hyperlink w:anchor="conclusion">
        <w:r>
          <w:rPr>
            <w:rStyle w:val="Hyperlink"/>
          </w:rPr>
          <w:t xml:space="preserve">Conclusion</w:t>
        </w:r>
      </w:hyperlink>
    </w:p>
    <w:bookmarkEnd w:id="22"/>
    <w:bookmarkStart w:id="26" w:name="analysis-methodology"/>
    <w:p>
      <w:pPr>
        <w:pStyle w:val="Heading1"/>
      </w:pPr>
      <w:r>
        <w:t xml:space="preserve">Analysis Methodology</w:t>
      </w:r>
    </w:p>
    <w:bookmarkStart w:id="23" w:name="scanning-parameters"/>
    <w:p>
      <w:pPr>
        <w:pStyle w:val="Heading2"/>
      </w:pPr>
      <w:r>
        <w:t xml:space="preserve">Scanning Parameters</w:t>
      </w:r>
    </w:p>
    <w:p>
      <w:pPr>
        <w:pStyle w:val="Compact"/>
        <w:numPr>
          <w:ilvl w:val="0"/>
          <w:numId w:val="1003"/>
        </w:numPr>
      </w:pPr>
      <w:r>
        <w:rPr>
          <w:b/>
          <w:bCs/>
        </w:rPr>
        <w:t xml:space="preserve">Tool</w:t>
      </w:r>
      <w:r>
        <w:t xml:space="preserve">: OWASP ZAP 2.17.0 by Checkmarx</w:t>
      </w:r>
      <w:r>
        <w:t xml:space="preserve"> </w:t>
      </w:r>
      <w:hyperlink w:anchor="ref-1">
        <w:r>
          <w:rPr>
            <w:rStyle w:val="Hyperlink"/>
          </w:rPr>
          <w:t xml:space="preserve">[1]</w:t>
        </w:r>
      </w:hyperlink>
    </w:p>
    <w:p>
      <w:pPr>
        <w:pStyle w:val="Compact"/>
        <w:numPr>
          <w:ilvl w:val="0"/>
          <w:numId w:val="1003"/>
        </w:numPr>
      </w:pPr>
      <w:r>
        <w:rPr>
          <w:b/>
          <w:bCs/>
        </w:rPr>
        <w:t xml:space="preserve">Scan Date and Time</w:t>
      </w:r>
      <w:r>
        <w:t xml:space="preserve">: December 30, 2025, 19:00:53</w:t>
      </w:r>
    </w:p>
    <w:p>
      <w:pPr>
        <w:pStyle w:val="Compact"/>
        <w:numPr>
          <w:ilvl w:val="0"/>
          <w:numId w:val="1003"/>
        </w:numPr>
      </w:pPr>
      <w:r>
        <w:rPr>
          <w:b/>
          <w:bCs/>
        </w:rPr>
        <w:t xml:space="preserve">Target Resource</w:t>
      </w:r>
      <w:r>
        <w:t xml:space="preserve">:</w:t>
      </w:r>
      <w:r>
        <w:t xml:space="preserve"> </w:t>
      </w:r>
      <w:hyperlink r:id="rId9">
        <w:r>
          <w:rPr>
            <w:rStyle w:val="Hyperlink"/>
          </w:rPr>
          <w:t xml:space="preserve">https://example.com</w:t>
        </w:r>
      </w:hyperlink>
    </w:p>
    <w:p>
      <w:pPr>
        <w:pStyle w:val="Compact"/>
        <w:numPr>
          <w:ilvl w:val="0"/>
          <w:numId w:val="1003"/>
        </w:numPr>
      </w:pPr>
      <w:r>
        <w:rPr>
          <w:b/>
          <w:bCs/>
        </w:rPr>
        <w:t xml:space="preserve">Total Endpoints</w:t>
      </w:r>
      <w:r>
        <w:t xml:space="preserve">: 290</w:t>
      </w:r>
    </w:p>
    <w:p>
      <w:pPr>
        <w:pStyle w:val="Compact"/>
        <w:numPr>
          <w:ilvl w:val="0"/>
          <w:numId w:val="1003"/>
        </w:numPr>
      </w:pPr>
      <w:r>
        <w:rPr>
          <w:b/>
          <w:bCs/>
        </w:rPr>
        <w:t xml:space="preserve">Contexts</w:t>
      </w:r>
      <w:r>
        <w:t xml:space="preserve">: All contexts included by default</w:t>
      </w:r>
    </w:p>
    <w:p>
      <w:pPr>
        <w:pStyle w:val="Compact"/>
        <w:numPr>
          <w:ilvl w:val="0"/>
          <w:numId w:val="1003"/>
        </w:numPr>
      </w:pPr>
      <w:r>
        <w:rPr>
          <w:b/>
          <w:bCs/>
        </w:rPr>
        <w:t xml:space="preserve">Risk Levels</w:t>
      </w:r>
      <w:r>
        <w:t xml:space="preserve">: High, Medium, Low, Informational</w:t>
      </w:r>
    </w:p>
    <w:p>
      <w:pPr>
        <w:pStyle w:val="Compact"/>
        <w:numPr>
          <w:ilvl w:val="0"/>
          <w:numId w:val="1003"/>
        </w:numPr>
      </w:pPr>
      <w:r>
        <w:rPr>
          <w:b/>
          <w:bCs/>
        </w:rPr>
        <w:t xml:space="preserve">Confidence Levels</w:t>
      </w:r>
      <w:r>
        <w:t xml:space="preserve">: User Confirmed, High, Medium, Low</w:t>
      </w:r>
    </w:p>
    <w:bookmarkEnd w:id="23"/>
    <w:bookmarkStart w:id="24" w:name="scan-results-statistics"/>
    <w:p>
      <w:pPr>
        <w:pStyle w:val="Heading2"/>
      </w:pPr>
      <w:r>
        <w:t xml:space="preserve">Scan Results Statistics</w:t>
      </w:r>
    </w:p>
    <w:tbl>
      <w:tblPr>
        <w:tblStyle w:val="Table"/>
        <w:tblW w:w="0" w:type="auto"/>
        <w:tblLook w:val="0020" w:firstRow="1" w:lastRow="0" w:firstColumn="0" w:lastColumn="0" w:noHBand="0" w:noVBand="0"/>
      </w:tblPr>
      <w:tblGrid>
        <w:gridCol w:w="1980"/>
        <w:gridCol w:w="1980"/>
        <w:gridCol w:w="1980"/>
        <w:gridCol w:w="1980"/>
      </w:tblGrid>
      <w:tr>
        <w:trPr>
          <w:tblHeader/>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Percentage</w:t>
            </w:r>
          </w:p>
        </w:tc>
        <w:tc>
          <w:tcPr/>
          <w:p>
            <w:pPr>
              <w:pStyle w:val="Compact"/>
              <w:jc w:val="left"/>
            </w:pPr>
            <w:r>
              <w:t xml:space="preserve">Confidence</w:t>
            </w:r>
          </w:p>
        </w:tc>
      </w:tr>
      <w:tr>
        <w:tc>
          <w:tcPr/>
          <w:p>
            <w:pPr>
              <w:pStyle w:val="Compact"/>
              <w:jc w:val="left"/>
            </w:pPr>
            <w:r>
              <w:rPr>
                <w:b/>
                <w:bCs/>
              </w:rPr>
              <w:t xml:space="preserve">🔴 High</w:t>
            </w:r>
          </w:p>
        </w:tc>
        <w:tc>
          <w:tcPr/>
          <w:p>
            <w:pPr>
              <w:pStyle w:val="Compact"/>
              <w:jc w:val="left"/>
            </w:pPr>
            <w:r>
              <w:t xml:space="preserve">1</w:t>
            </w:r>
          </w:p>
        </w:tc>
        <w:tc>
          <w:tcPr/>
          <w:p>
            <w:pPr>
              <w:pStyle w:val="Compact"/>
              <w:jc w:val="left"/>
            </w:pPr>
            <w:r>
              <w:t xml:space="preserve">3.4%</w:t>
            </w:r>
          </w:p>
        </w:tc>
        <w:tc>
          <w:tcPr/>
          <w:p>
            <w:pPr>
              <w:pStyle w:val="Compact"/>
              <w:jc w:val="left"/>
            </w:pPr>
            <w:r>
              <w:t xml:space="preserve">High</w:t>
            </w:r>
          </w:p>
        </w:tc>
      </w:tr>
      <w:tr>
        <w:tc>
          <w:tcPr/>
          <w:p>
            <w:pPr>
              <w:pStyle w:val="Compact"/>
              <w:jc w:val="left"/>
            </w:pPr>
            <w:r>
              <w:rPr>
                <w:b/>
                <w:bCs/>
              </w:rPr>
              <w:t xml:space="preserve">🟡 Medium</w:t>
            </w:r>
          </w:p>
        </w:tc>
        <w:tc>
          <w:tcPr/>
          <w:p>
            <w:pPr>
              <w:pStyle w:val="Compact"/>
              <w:jc w:val="left"/>
            </w:pPr>
            <w:r>
              <w:t xml:space="preserve">3</w:t>
            </w:r>
          </w:p>
        </w:tc>
        <w:tc>
          <w:tcPr/>
          <w:p>
            <w:pPr>
              <w:pStyle w:val="Compact"/>
              <w:jc w:val="left"/>
            </w:pPr>
            <w:r>
              <w:t xml:space="preserve">10.3%</w:t>
            </w:r>
          </w:p>
        </w:tc>
        <w:tc>
          <w:tcPr/>
          <w:p>
            <w:pPr>
              <w:pStyle w:val="Compact"/>
              <w:jc w:val="left"/>
            </w:pPr>
            <w:r>
              <w:t xml:space="preserve">High/Medium</w:t>
            </w:r>
          </w:p>
        </w:tc>
      </w:tr>
      <w:tr>
        <w:tc>
          <w:tcPr/>
          <w:p>
            <w:pPr>
              <w:pStyle w:val="Compact"/>
              <w:jc w:val="left"/>
            </w:pPr>
            <w:r>
              <w:rPr>
                <w:b/>
                <w:bCs/>
              </w:rPr>
              <w:t xml:space="preserve">🔵 Low</w:t>
            </w:r>
          </w:p>
        </w:tc>
        <w:tc>
          <w:tcPr/>
          <w:p>
            <w:pPr>
              <w:pStyle w:val="Compact"/>
              <w:jc w:val="left"/>
            </w:pPr>
            <w:r>
              <w:t xml:space="preserve">4</w:t>
            </w:r>
          </w:p>
        </w:tc>
        <w:tc>
          <w:tcPr/>
          <w:p>
            <w:pPr>
              <w:pStyle w:val="Compact"/>
              <w:jc w:val="left"/>
            </w:pPr>
            <w:r>
              <w:t xml:space="preserve">13.8%</w:t>
            </w:r>
          </w:p>
        </w:tc>
        <w:tc>
          <w:tcPr/>
          <w:p>
            <w:pPr>
              <w:pStyle w:val="Compact"/>
              <w:jc w:val="left"/>
            </w:pPr>
            <w:r>
              <w:t xml:space="preserve">High/Medium/Low</w:t>
            </w:r>
          </w:p>
        </w:tc>
      </w:tr>
      <w:tr>
        <w:tc>
          <w:tcPr/>
          <w:p>
            <w:pPr>
              <w:pStyle w:val="Compact"/>
              <w:jc w:val="left"/>
            </w:pPr>
            <w:r>
              <w:rPr>
                <w:b/>
                <w:bCs/>
              </w:rPr>
              <w:t xml:space="preserve">ℹ️ Informational</w:t>
            </w:r>
          </w:p>
        </w:tc>
        <w:tc>
          <w:tcPr/>
          <w:p>
            <w:pPr>
              <w:pStyle w:val="Compact"/>
              <w:jc w:val="left"/>
            </w:pPr>
            <w:r>
              <w:t xml:space="preserve">21</w:t>
            </w:r>
          </w:p>
        </w:tc>
        <w:tc>
          <w:tcPr/>
          <w:p>
            <w:pPr>
              <w:pStyle w:val="Compact"/>
              <w:jc w:val="left"/>
            </w:pPr>
            <w:r>
              <w:t xml:space="preserve">72.4%</w:t>
            </w:r>
          </w:p>
        </w:tc>
        <w:tc>
          <w:tcPr/>
          <w:p>
            <w:pPr>
              <w:pStyle w:val="Compact"/>
              <w:jc w:val="left"/>
            </w:pPr>
            <w:r>
              <w:t xml:space="preserve">Medium/Low</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jc w:val="left"/>
            </w:pPr>
            <w:r>
              <w:rPr>
                <w:b/>
                <w:bCs/>
              </w:rPr>
              <w:t xml:space="preserve">100%</w:t>
            </w:r>
          </w:p>
        </w:tc>
        <w:tc>
          <w:tcPr/>
          <w:p>
            <w:pPr>
              <w:pStyle w:val="Compact"/>
              <w:jc w:val="left"/>
            </w:pPr>
            <w:r>
              <w:t xml:space="preserve">-</w:t>
            </w:r>
          </w:p>
        </w:tc>
      </w:tr>
    </w:tbl>
    <w:bookmarkEnd w:id="24"/>
    <w:bookmarkStart w:id="25" w:name="technology-stack"/>
    <w:p>
      <w:pPr>
        <w:pStyle w:val="Heading2"/>
      </w:pPr>
      <w:r>
        <w:t xml:space="preserve">Technology Stack</w:t>
      </w:r>
    </w:p>
    <w:p>
      <w:pPr>
        <w:pStyle w:val="FirstParagraph"/>
      </w:pPr>
      <w:r>
        <w:t xml:space="preserve">Identified technologies on the website:</w:t>
      </w:r>
    </w:p>
    <w:p>
      <w:pPr>
        <w:pStyle w:val="Compact"/>
        <w:numPr>
          <w:ilvl w:val="0"/>
          <w:numId w:val="1004"/>
        </w:numPr>
      </w:pPr>
      <w:r>
        <w:rPr>
          <w:b/>
          <w:bCs/>
        </w:rPr>
        <w:t xml:space="preserve">CMS</w:t>
      </w:r>
      <w:r>
        <w:t xml:space="preserve">: WordPress with Block Editor</w:t>
      </w:r>
    </w:p>
    <w:p>
      <w:pPr>
        <w:pStyle w:val="Compact"/>
        <w:numPr>
          <w:ilvl w:val="0"/>
          <w:numId w:val="1004"/>
        </w:numPr>
      </w:pPr>
      <w:r>
        <w:rPr>
          <w:b/>
          <w:bCs/>
        </w:rPr>
        <w:t xml:space="preserve">Web Server</w:t>
      </w:r>
      <w:r>
        <w:t xml:space="preserve">: LiteSpeed with LiteSpeed Cache</w:t>
      </w:r>
    </w:p>
    <w:p>
      <w:pPr>
        <w:pStyle w:val="Compact"/>
        <w:numPr>
          <w:ilvl w:val="0"/>
          <w:numId w:val="1004"/>
        </w:numPr>
      </w:pPr>
      <w:r>
        <w:rPr>
          <w:b/>
          <w:bCs/>
        </w:rPr>
        <w:t xml:space="preserve">CDN</w:t>
      </w:r>
      <w:r>
        <w:t xml:space="preserve">: Cloudflare with Browser Insights</w:t>
      </w:r>
    </w:p>
    <w:p>
      <w:pPr>
        <w:pStyle w:val="Compact"/>
        <w:numPr>
          <w:ilvl w:val="0"/>
          <w:numId w:val="1004"/>
        </w:numPr>
      </w:pPr>
      <w:r>
        <w:rPr>
          <w:b/>
          <w:bCs/>
        </w:rPr>
        <w:t xml:space="preserve">Programming Language</w:t>
      </w:r>
      <w:r>
        <w:t xml:space="preserve">: PHP</w:t>
      </w:r>
    </w:p>
    <w:p>
      <w:pPr>
        <w:pStyle w:val="Compact"/>
        <w:numPr>
          <w:ilvl w:val="0"/>
          <w:numId w:val="1004"/>
        </w:numPr>
      </w:pPr>
      <w:r>
        <w:rPr>
          <w:b/>
          <w:bCs/>
        </w:rPr>
        <w:t xml:space="preserve">Additional Components</w:t>
      </w:r>
      <w:r>
        <w:t xml:space="preserve">:</w:t>
      </w:r>
    </w:p>
    <w:p>
      <w:pPr>
        <w:pStyle w:val="Compact"/>
        <w:numPr>
          <w:ilvl w:val="1"/>
          <w:numId w:val="1005"/>
        </w:numPr>
      </w:pPr>
      <w:r>
        <w:t xml:space="preserve">Blocksy (WordPress theme)</w:t>
      </w:r>
    </w:p>
    <w:p>
      <w:pPr>
        <w:pStyle w:val="Compact"/>
        <w:numPr>
          <w:ilvl w:val="1"/>
          <w:numId w:val="1005"/>
        </w:numPr>
      </w:pPr>
      <w:r>
        <w:t xml:space="preserve">Stackable (WordPress plugin)</w:t>
      </w:r>
    </w:p>
    <w:p>
      <w:pPr>
        <w:pStyle w:val="Compact"/>
        <w:numPr>
          <w:ilvl w:val="1"/>
          <w:numId w:val="1005"/>
        </w:numPr>
      </w:pPr>
      <w:r>
        <w:t xml:space="preserve">Gravatar (avatar service)</w:t>
      </w:r>
    </w:p>
    <w:p>
      <w:pPr>
        <w:pStyle w:val="Compact"/>
        <w:numPr>
          <w:ilvl w:val="1"/>
          <w:numId w:val="1005"/>
        </w:numPr>
      </w:pPr>
      <w:r>
        <w:t xml:space="preserve">Google Font API</w:t>
      </w:r>
    </w:p>
    <w:p>
      <w:pPr>
        <w:pStyle w:val="Compact"/>
        <w:numPr>
          <w:ilvl w:val="0"/>
          <w:numId w:val="1004"/>
        </w:numPr>
      </w:pPr>
      <w:r>
        <w:rPr>
          <w:b/>
          <w:bCs/>
        </w:rPr>
        <w:t xml:space="preserve">Protocols</w:t>
      </w:r>
      <w:r>
        <w:t xml:space="preserve">: HTTP/3, HSTS, RSS, Priority Hints</w:t>
      </w:r>
    </w:p>
    <w:bookmarkEnd w:id="25"/>
    <w:bookmarkEnd w:id="26"/>
    <w:bookmarkStart w:id="38" w:name="detailed-vulnerability-analysis"/>
    <w:p>
      <w:pPr>
        <w:pStyle w:val="Heading1"/>
      </w:pPr>
      <w:r>
        <w:t xml:space="preserve">Detailed Vulnerability Analysis</w:t>
      </w:r>
    </w:p>
    <w:bookmarkStart w:id="28" w:name="Xbe0086e4110fc43e6a8cfd718bbea6c4c03d5a6"/>
    <w:p>
      <w:pPr>
        <w:pStyle w:val="Heading2"/>
      </w:pPr>
      <w:r>
        <w:t xml:space="preserve">🔴 Critical Vulnerabilities (High Risk)</w:t>
      </w:r>
    </w:p>
    <w:bookmarkStart w:id="27" w:name="X055fc700989190797c60c71e8ee568ff26031c3"/>
    <w:p>
      <w:pPr>
        <w:pStyle w:val="Heading3"/>
      </w:pPr>
      <w:r>
        <w:t xml:space="preserve">1. Personal Identifiable Information (PII) Disclosure</w:t>
      </w:r>
    </w:p>
    <w:p>
      <w:pPr>
        <w:pStyle w:val="FirstParagraph"/>
      </w:pPr>
      <w:r>
        <w:rPr>
          <w:b/>
          <w:bCs/>
        </w:rPr>
        <w:t xml:space="preserve">CWE-359 | WASC-13 | Confidence: High</w:t>
      </w:r>
    </w:p>
    <w:p>
      <w:pPr>
        <w:pStyle w:val="BlockText"/>
      </w:pPr>
      <w:r>
        <w:rPr>
          <w:b/>
          <w:bCs/>
        </w:rPr>
        <w:t xml:space="preserve">CRITICAL VIOLATION</w:t>
      </w:r>
      <w:r>
        <w:t xml:space="preserve">: Personal user data disclosure detected</w:t>
      </w:r>
    </w:p>
    <w:p>
      <w:pPr>
        <w:pStyle w:val="FirstParagraph"/>
      </w:pPr>
      <w:r>
        <w:rPr>
          <w:b/>
          <w:bCs/>
        </w:rPr>
        <w:t xml:space="preserve">Technical Description:</w:t>
      </w:r>
    </w:p>
    <w:p>
      <w:pPr>
        <w:pStyle w:val="Compact"/>
        <w:numPr>
          <w:ilvl w:val="0"/>
          <w:numId w:val="1006"/>
        </w:numPr>
      </w:pPr>
      <w:r>
        <w:t xml:space="preserve">Personal user information accessible without authorization</w:t>
      </w:r>
    </w:p>
    <w:p>
      <w:pPr>
        <w:pStyle w:val="Compact"/>
        <w:numPr>
          <w:ilvl w:val="0"/>
          <w:numId w:val="1006"/>
        </w:numPr>
      </w:pPr>
      <w:r>
        <w:t xml:space="preserve">Violation of data confidentiality principles</w:t>
      </w:r>
    </w:p>
    <w:p>
      <w:pPr>
        <w:pStyle w:val="Compact"/>
        <w:numPr>
          <w:ilvl w:val="0"/>
          <w:numId w:val="1006"/>
        </w:numPr>
      </w:pPr>
      <w:r>
        <w:t xml:space="preserve">Direct violation of GDPR requirements</w:t>
      </w:r>
    </w:p>
    <w:p>
      <w:pPr>
        <w:pStyle w:val="FirstParagraph"/>
      </w:pPr>
      <w:r>
        <w:rPr>
          <w:b/>
          <w:bCs/>
        </w:rPr>
        <w:t xml:space="preserve">Business Impact:</w:t>
      </w:r>
    </w:p>
    <w:p>
      <w:pPr>
        <w:pStyle w:val="Compact"/>
        <w:numPr>
          <w:ilvl w:val="0"/>
          <w:numId w:val="1007"/>
        </w:numPr>
      </w:pPr>
      <w:r>
        <w:rPr>
          <w:b/>
          <w:bCs/>
        </w:rPr>
        <w:t xml:space="preserve">Regulatory Risks</w:t>
      </w:r>
      <w:r>
        <w:t xml:space="preserve">: GDPR fines up to 4% of annual company revenue</w:t>
      </w:r>
    </w:p>
    <w:p>
      <w:pPr>
        <w:pStyle w:val="Compact"/>
        <w:numPr>
          <w:ilvl w:val="0"/>
          <w:numId w:val="1007"/>
        </w:numPr>
      </w:pPr>
      <w:r>
        <w:rPr>
          <w:b/>
          <w:bCs/>
        </w:rPr>
        <w:t xml:space="preserve">Reputational Damage</w:t>
      </w:r>
      <w:r>
        <w:t xml:space="preserve">: Severe damage to customer trust</w:t>
      </w:r>
    </w:p>
    <w:p>
      <w:pPr>
        <w:pStyle w:val="Compact"/>
        <w:numPr>
          <w:ilvl w:val="0"/>
          <w:numId w:val="1007"/>
        </w:numPr>
      </w:pPr>
      <w:r>
        <w:rPr>
          <w:b/>
          <w:bCs/>
        </w:rPr>
        <w:t xml:space="preserve">Legal Consequences</w:t>
      </w:r>
      <w:r>
        <w:t xml:space="preserve">: Potential lawsuits from affected individuals</w:t>
      </w:r>
    </w:p>
    <w:p>
      <w:pPr>
        <w:pStyle w:val="Compact"/>
        <w:numPr>
          <w:ilvl w:val="0"/>
          <w:numId w:val="1007"/>
        </w:numPr>
      </w:pPr>
      <w:r>
        <w:rPr>
          <w:b/>
          <w:bCs/>
        </w:rPr>
        <w:t xml:space="preserve">Operational Risks</w:t>
      </w:r>
      <w:r>
        <w:t xml:space="preserve">: Mandatory regulator notification within 72 hours</w:t>
      </w:r>
    </w:p>
    <w:bookmarkEnd w:id="27"/>
    <w:bookmarkEnd w:id="28"/>
    <w:bookmarkStart w:id="32" w:name="Xd51fd6b5dcaaa2161624c48f1d0179d0b5aadba"/>
    <w:p>
      <w:pPr>
        <w:pStyle w:val="Heading2"/>
      </w:pPr>
      <w:r>
        <w:t xml:space="preserve">🟡 Medium Risk Vulnerabilities</w:t>
      </w:r>
    </w:p>
    <w:bookmarkStart w:id="29" w:name="Xc11312afbf53802e084e1d9e4ade8dc4d8cf031"/>
    <w:p>
      <w:pPr>
        <w:pStyle w:val="Heading3"/>
      </w:pPr>
      <w:r>
        <w:t xml:space="preserve">2. Missing Subresource Integrity (SRI)</w:t>
      </w:r>
    </w:p>
    <w:p>
      <w:pPr>
        <w:pStyle w:val="FirstParagraph"/>
      </w:pPr>
      <w:r>
        <w:rPr>
          <w:b/>
          <w:bCs/>
        </w:rPr>
        <w:t xml:space="preserve">CWE-345 | WASC-15 | Count: 5 instances | Confidence: High</w:t>
      </w:r>
    </w:p>
    <w:p>
      <w:pPr>
        <w:pStyle w:val="BodyText"/>
      </w:pPr>
      <w:r>
        <w:rPr>
          <w:b/>
          <w:bCs/>
        </w:rPr>
        <w:t xml:space="preserve">Description:</w:t>
      </w:r>
      <w:r>
        <w:t xml:space="preserve"> </w:t>
      </w:r>
      <w:r>
        <w:t xml:space="preserve">External resources loaded without integrity verification, creating supply chain attack risks.</w:t>
      </w:r>
    </w:p>
    <w:p>
      <w:pPr>
        <w:pStyle w:val="BodyText"/>
      </w:pPr>
      <w:r>
        <w:rPr>
          <w:b/>
          <w:bCs/>
        </w:rPr>
        <w:t xml:space="preserve">Affected Resources:</w:t>
      </w:r>
    </w:p>
    <w:p>
      <w:pPr>
        <w:pStyle w:val="Compact"/>
        <w:numPr>
          <w:ilvl w:val="0"/>
          <w:numId w:val="1008"/>
        </w:numPr>
      </w:pPr>
      <w:r>
        <w:t xml:space="preserve">Google Font API</w:t>
      </w:r>
    </w:p>
    <w:p>
      <w:pPr>
        <w:pStyle w:val="Compact"/>
        <w:numPr>
          <w:ilvl w:val="0"/>
          <w:numId w:val="1008"/>
        </w:numPr>
      </w:pPr>
      <w:r>
        <w:t xml:space="preserve">Cloudflare CDN resources</w:t>
      </w:r>
    </w:p>
    <w:p>
      <w:pPr>
        <w:pStyle w:val="Compact"/>
        <w:numPr>
          <w:ilvl w:val="0"/>
          <w:numId w:val="1008"/>
        </w:numPr>
      </w:pPr>
      <w:r>
        <w:t xml:space="preserve">External JavaScript libraries</w:t>
      </w:r>
    </w:p>
    <w:bookmarkEnd w:id="29"/>
    <w:bookmarkStart w:id="30" w:name="X2a61dee7a309bafd6471386350d571f8e43ff10"/>
    <w:p>
      <w:pPr>
        <w:pStyle w:val="Heading3"/>
      </w:pPr>
      <w:r>
        <w:t xml:space="preserve">3. Missing Content Security Policy (CSP)</w:t>
      </w:r>
    </w:p>
    <w:p>
      <w:pPr>
        <w:pStyle w:val="FirstParagraph"/>
      </w:pPr>
      <w:r>
        <w:rPr>
          <w:b/>
          <w:bCs/>
        </w:rPr>
        <w:t xml:space="preserve">CWE-693 | WASC-15 | Count: 5 instances | Confidence: High</w:t>
      </w:r>
    </w:p>
    <w:p>
      <w:pPr>
        <w:pStyle w:val="BodyText"/>
      </w:pPr>
      <w:r>
        <w:rPr>
          <w:b/>
          <w:bCs/>
        </w:rPr>
        <w:t xml:space="preserve">Description:</w:t>
      </w:r>
      <w:r>
        <w:t xml:space="preserve"> </w:t>
      </w:r>
      <w:r>
        <w:t xml:space="preserve">Absence of content security policy makes the site vulnerable to XSS attacks and other injections.</w:t>
      </w:r>
    </w:p>
    <w:bookmarkEnd w:id="30"/>
    <w:bookmarkStart w:id="31" w:name="X3004138c0cd33680534525cd384f26308682cdc"/>
    <w:p>
      <w:pPr>
        <w:pStyle w:val="Heading3"/>
      </w:pPr>
      <w:r>
        <w:t xml:space="preserve">4. Missing Clickjacking Protection</w:t>
      </w:r>
    </w:p>
    <w:p>
      <w:pPr>
        <w:pStyle w:val="FirstParagraph"/>
      </w:pPr>
      <w:r>
        <w:rPr>
          <w:b/>
          <w:bCs/>
        </w:rPr>
        <w:t xml:space="preserve">CWE-1021 | WASC-15 | Count: 5 instances | Confidence: Medium</w:t>
      </w:r>
    </w:p>
    <w:p>
      <w:pPr>
        <w:pStyle w:val="BodyText"/>
      </w:pPr>
      <w:r>
        <w:rPr>
          <w:b/>
          <w:bCs/>
        </w:rPr>
        <w:t xml:space="preserve">Description:</w:t>
      </w:r>
      <w:r>
        <w:t xml:space="preserve"> </w:t>
      </w:r>
      <w:r>
        <w:t xml:space="preserve">Absence of X-Frame-Options or CSP frame-ancestors headers allows iframe embedding for clickjacking attacks.</w:t>
      </w:r>
    </w:p>
    <w:bookmarkEnd w:id="31"/>
    <w:bookmarkEnd w:id="32"/>
    <w:bookmarkStart w:id="36" w:name="X6fd02a491a2983f2cd0bffe0a584707431770b0"/>
    <w:p>
      <w:pPr>
        <w:pStyle w:val="Heading2"/>
      </w:pPr>
      <w:r>
        <w:t xml:space="preserve">🔵 Low Risk Vulnerabilities</w:t>
      </w:r>
    </w:p>
    <w:bookmarkStart w:id="33" w:name="X9c1ac4470623119c15067afd2f79ecd55d60904"/>
    <w:p>
      <w:pPr>
        <w:pStyle w:val="Heading3"/>
      </w:pPr>
      <w:r>
        <w:t xml:space="preserve">5. Transport Security Issues</w:t>
      </w:r>
    </w:p>
    <w:p>
      <w:pPr>
        <w:pStyle w:val="Compact"/>
        <w:numPr>
          <w:ilvl w:val="0"/>
          <w:numId w:val="1009"/>
        </w:numPr>
      </w:pPr>
      <w:r>
        <w:rPr>
          <w:b/>
          <w:bCs/>
        </w:rPr>
        <w:t xml:space="preserve">Strict-Transport-Security Header Not Set</w:t>
      </w:r>
      <w:r>
        <w:t xml:space="preserve"> </w:t>
      </w:r>
      <w:r>
        <w:t xml:space="preserve">(CWE-319, 1 instance)</w:t>
      </w:r>
    </w:p>
    <w:p>
      <w:pPr>
        <w:pStyle w:val="Compact"/>
        <w:numPr>
          <w:ilvl w:val="0"/>
          <w:numId w:val="1009"/>
        </w:numPr>
      </w:pPr>
      <w:r>
        <w:rPr>
          <w:b/>
          <w:bCs/>
        </w:rPr>
        <w:t xml:space="preserve">Strict Transport Security Disabled</w:t>
      </w:r>
      <w:r>
        <w:t xml:space="preserve"> </w:t>
      </w:r>
      <w:r>
        <w:t xml:space="preserve">(CWE-319, 5 instances)</w:t>
      </w:r>
    </w:p>
    <w:bookmarkEnd w:id="33"/>
    <w:bookmarkStart w:id="34" w:name="X29f4b8481b3016786a3e95c278375d7f75a685c"/>
    <w:p>
      <w:pPr>
        <w:pStyle w:val="Heading3"/>
      </w:pPr>
      <w:r>
        <w:t xml:space="preserve">6. Missing X-Content-Type-Options</w:t>
      </w:r>
    </w:p>
    <w:p>
      <w:pPr>
        <w:pStyle w:val="FirstParagraph"/>
      </w:pPr>
      <w:r>
        <w:rPr>
          <w:b/>
          <w:bCs/>
        </w:rPr>
        <w:t xml:space="preserve">CWE-693 | WASC-15 | Confidence: Medium</w:t>
      </w:r>
    </w:p>
    <w:p>
      <w:pPr>
        <w:pStyle w:val="BodyText"/>
      </w:pPr>
      <w:r>
        <w:rPr>
          <w:b/>
          <w:bCs/>
        </w:rPr>
        <w:t xml:space="preserve">Description:</w:t>
      </w:r>
      <w:r>
        <w:t xml:space="preserve"> </w:t>
      </w:r>
      <w:r>
        <w:t xml:space="preserve">Missing protection against MIME-sniffing attacks.</w:t>
      </w:r>
    </w:p>
    <w:bookmarkEnd w:id="34"/>
    <w:bookmarkStart w:id="35" w:name="X548e24bf82614bbdb642dc60cfe330290516430"/>
    <w:p>
      <w:pPr>
        <w:pStyle w:val="Heading3"/>
      </w:pPr>
      <w:r>
        <w:t xml:space="preserve">7. Unix Timestamp Disclosure</w:t>
      </w:r>
    </w:p>
    <w:p>
      <w:pPr>
        <w:pStyle w:val="FirstParagraph"/>
      </w:pPr>
      <w:r>
        <w:rPr>
          <w:b/>
          <w:bCs/>
        </w:rPr>
        <w:t xml:space="preserve">CWE-497 | WASC-13 | Count: 4 instances | Confidence: Low</w:t>
      </w:r>
    </w:p>
    <w:p>
      <w:pPr>
        <w:pStyle w:val="BodyText"/>
      </w:pPr>
      <w:r>
        <w:rPr>
          <w:b/>
          <w:bCs/>
        </w:rPr>
        <w:t xml:space="preserve">Description:</w:t>
      </w:r>
      <w:r>
        <w:t xml:space="preserve"> </w:t>
      </w:r>
      <w:r>
        <w:t xml:space="preserve">Timestamp disclosure detected, potentially revealing content creation timing information.</w:t>
      </w:r>
    </w:p>
    <w:bookmarkEnd w:id="35"/>
    <w:bookmarkEnd w:id="36"/>
    <w:bookmarkStart w:id="37" w:name="information_source-informational-alerts"/>
    <w:p>
      <w:pPr>
        <w:pStyle w:val="Heading2"/>
      </w:pPr>
      <w:r>
        <w:t xml:space="preserve">ℹ️ Informational Alerts</w:t>
      </w:r>
    </w:p>
    <w:p>
      <w:pPr>
        <w:pStyle w:val="FirstParagraph"/>
      </w:pPr>
      <w:r>
        <w:t xml:space="preserve">21 informational alerts identified, including:</w:t>
      </w:r>
    </w:p>
    <w:p>
      <w:pPr>
        <w:pStyle w:val="Compact"/>
        <w:numPr>
          <w:ilvl w:val="0"/>
          <w:numId w:val="1010"/>
        </w:numPr>
      </w:pPr>
      <w:r>
        <w:t xml:space="preserve">Technology detection (WordPress, PHP, Cloudflare, etc.)</w:t>
      </w:r>
    </w:p>
    <w:p>
      <w:pPr>
        <w:pStyle w:val="Compact"/>
        <w:numPr>
          <w:ilvl w:val="0"/>
          <w:numId w:val="1010"/>
        </w:numPr>
      </w:pPr>
      <w:r>
        <w:t xml:space="preserve">Caching issues (5 instances)</w:t>
      </w:r>
    </w:p>
    <w:p>
      <w:pPr>
        <w:pStyle w:val="Compact"/>
        <w:numPr>
          <w:ilvl w:val="0"/>
          <w:numId w:val="1010"/>
        </w:numPr>
      </w:pPr>
      <w:r>
        <w:t xml:space="preserve">Charset mismatch</w:t>
      </w:r>
    </w:p>
    <w:p>
      <w:pPr>
        <w:pStyle w:val="Compact"/>
        <w:numPr>
          <w:ilvl w:val="0"/>
          <w:numId w:val="1010"/>
        </w:numPr>
      </w:pPr>
      <w:r>
        <w:t xml:space="preserve">Suspicious comments in code (58 instances)</w:t>
      </w:r>
    </w:p>
    <w:bookmarkEnd w:id="37"/>
    <w:bookmarkEnd w:id="38"/>
    <w:bookmarkStart w:id="45" w:name="owasp-top-10-2021-compliance-analysis"/>
    <w:p>
      <w:pPr>
        <w:pStyle w:val="Heading1"/>
      </w:pPr>
      <w:r>
        <w:t xml:space="preserve">OWASP Top 10 2021 Compliance Analysis</w:t>
      </w:r>
    </w:p>
    <w:bookmarkStart w:id="39" w:name="a012021--broken-access-control"/>
    <w:p>
      <w:pPr>
        <w:pStyle w:val="Heading2"/>
      </w:pPr>
      <w:r>
        <w:t xml:space="preserve">A01:2021 – Broken Access Control</w:t>
      </w:r>
    </w:p>
    <w:p>
      <w:pPr>
        <w:pStyle w:val="BlockText"/>
      </w:pPr>
      <w:r>
        <w:rPr>
          <w:b/>
          <w:bCs/>
        </w:rPr>
        <w:t xml:space="preserve">Status</w:t>
      </w:r>
      <w:r>
        <w:t xml:space="preserve">: ❌</w:t>
      </w:r>
      <w:r>
        <w:t xml:space="preserve"> </w:t>
      </w:r>
      <w:r>
        <w:rPr>
          <w:b/>
          <w:bCs/>
        </w:rPr>
        <w:t xml:space="preserve">CRITICAL NON-COMPLIANCE</w:t>
      </w:r>
    </w:p>
    <w:p>
      <w:pPr>
        <w:pStyle w:val="FirstParagraph"/>
      </w:pPr>
      <w:r>
        <w:rPr>
          <w:b/>
          <w:bCs/>
        </w:rPr>
        <w:t xml:space="preserve">Identified Issues:</w:t>
      </w:r>
    </w:p>
    <w:p>
      <w:pPr>
        <w:pStyle w:val="Compact"/>
        <w:numPr>
          <w:ilvl w:val="0"/>
          <w:numId w:val="1011"/>
        </w:numPr>
      </w:pPr>
      <w:r>
        <w:rPr>
          <w:b/>
          <w:bCs/>
        </w:rPr>
        <w:t xml:space="preserve">PII Disclosure</w:t>
      </w:r>
      <w:r>
        <w:t xml:space="preserve"> </w:t>
      </w:r>
      <w:r>
        <w:t xml:space="preserve">- direct violation of access control principles</w:t>
      </w:r>
    </w:p>
    <w:p>
      <w:pPr>
        <w:pStyle w:val="Compact"/>
        <w:numPr>
          <w:ilvl w:val="0"/>
          <w:numId w:val="1011"/>
        </w:numPr>
      </w:pPr>
      <w:r>
        <w:t xml:space="preserve">Absence of sensitive information protection mechanisms</w:t>
      </w:r>
    </w:p>
    <w:p>
      <w:pPr>
        <w:pStyle w:val="Compact"/>
        <w:numPr>
          <w:ilvl w:val="0"/>
          <w:numId w:val="1011"/>
        </w:numPr>
      </w:pPr>
      <w:r>
        <w:t xml:space="preserve">Violation of "deny by default" principle</w:t>
      </w:r>
    </w:p>
    <w:p>
      <w:pPr>
        <w:pStyle w:val="FirstParagraph"/>
      </w:pPr>
      <w:r>
        <w:rPr>
          <w:b/>
          <w:bCs/>
        </w:rPr>
        <w:t xml:space="preserve">OWASP Recommendations:</w:t>
      </w:r>
    </w:p>
    <w:p>
      <w:pPr>
        <w:pStyle w:val="Compact"/>
        <w:numPr>
          <w:ilvl w:val="0"/>
          <w:numId w:val="1012"/>
        </w:numPr>
      </w:pPr>
      <w:r>
        <w:t xml:space="preserve">Implement strict access controls</w:t>
      </w:r>
    </w:p>
    <w:p>
      <w:pPr>
        <w:pStyle w:val="Compact"/>
        <w:numPr>
          <w:ilvl w:val="0"/>
          <w:numId w:val="1012"/>
        </w:numPr>
      </w:pPr>
      <w:r>
        <w:t xml:space="preserve">Log access failures</w:t>
      </w:r>
    </w:p>
    <w:p>
      <w:pPr>
        <w:pStyle w:val="Compact"/>
        <w:numPr>
          <w:ilvl w:val="0"/>
          <w:numId w:val="1012"/>
        </w:numPr>
      </w:pPr>
      <w:r>
        <w:t xml:space="preserve">Rate limit API requests</w:t>
      </w:r>
    </w:p>
    <w:p>
      <w:pPr>
        <w:pStyle w:val="Compact"/>
        <w:numPr>
          <w:ilvl w:val="0"/>
          <w:numId w:val="1012"/>
        </w:numPr>
      </w:pPr>
      <w:r>
        <w:t xml:space="preserve">Regular access rights auditing</w:t>
      </w:r>
    </w:p>
    <w:bookmarkEnd w:id="39"/>
    <w:bookmarkStart w:id="40" w:name="a032021--injection"/>
    <w:p>
      <w:pPr>
        <w:pStyle w:val="Heading2"/>
      </w:pPr>
      <w:r>
        <w:t xml:space="preserve">A03:2021 – Injection</w:t>
      </w:r>
    </w:p>
    <w:p>
      <w:pPr>
        <w:pStyle w:val="BlockText"/>
      </w:pPr>
      <w:r>
        <w:rPr>
          <w:b/>
          <w:bCs/>
        </w:rPr>
        <w:t xml:space="preserve">Status</w:t>
      </w:r>
      <w:r>
        <w:t xml:space="preserve">: ✅</w:t>
      </w:r>
      <w:r>
        <w:t xml:space="preserve"> </w:t>
      </w:r>
      <w:r>
        <w:rPr>
          <w:b/>
          <w:bCs/>
        </w:rPr>
        <w:t xml:space="preserve">COMPLIANT</w:t>
      </w:r>
      <w:r>
        <w:t xml:space="preserve"> </w:t>
      </w:r>
      <w:r>
        <w:t xml:space="preserve">(based on scan results)</w:t>
      </w:r>
    </w:p>
    <w:p>
      <w:pPr>
        <w:pStyle w:val="FirstParagraph"/>
      </w:pPr>
      <w:r>
        <w:rPr>
          <w:b/>
          <w:bCs/>
        </w:rPr>
        <w:t xml:space="preserve">Result:</w:t>
      </w:r>
      <w:r>
        <w:t xml:space="preserve"> </w:t>
      </w:r>
      <w:r>
        <w:t xml:space="preserve">No SQL, NoSQL, or OS command injection vulnerabilities detected.</w:t>
      </w:r>
    </w:p>
    <w:bookmarkEnd w:id="40"/>
    <w:bookmarkStart w:id="41" w:name="a052021--security-misconfiguration"/>
    <w:p>
      <w:pPr>
        <w:pStyle w:val="Heading2"/>
      </w:pPr>
      <w:r>
        <w:t xml:space="preserve">A05:2021 – Security Misconfiguration</w:t>
      </w:r>
    </w:p>
    <w:p>
      <w:pPr>
        <w:pStyle w:val="BlockText"/>
      </w:pPr>
      <w:r>
        <w:rPr>
          <w:b/>
          <w:bCs/>
        </w:rPr>
        <w:t xml:space="preserve">Status</w:t>
      </w:r>
      <w:r>
        <w:t xml:space="preserve">: ❌</w:t>
      </w:r>
      <w:r>
        <w:t xml:space="preserve"> </w:t>
      </w:r>
      <w:r>
        <w:rPr>
          <w:b/>
          <w:bCs/>
        </w:rPr>
        <w:t xml:space="preserve">CRITICAL NON-COMPLIANCE</w:t>
      </w:r>
    </w:p>
    <w:p>
      <w:pPr>
        <w:pStyle w:val="FirstParagraph"/>
      </w:pPr>
      <w:r>
        <w:rPr>
          <w:b/>
          <w:bCs/>
        </w:rPr>
        <w:t xml:space="preserve">Identified Issues:</w:t>
      </w:r>
    </w:p>
    <w:p>
      <w:pPr>
        <w:pStyle w:val="Compact"/>
        <w:numPr>
          <w:ilvl w:val="0"/>
          <w:numId w:val="1013"/>
        </w:numPr>
      </w:pPr>
      <w:r>
        <w:t xml:space="preserve">Missing CSP (5 instances)</w:t>
      </w:r>
    </w:p>
    <w:p>
      <w:pPr>
        <w:pStyle w:val="Compact"/>
        <w:numPr>
          <w:ilvl w:val="0"/>
          <w:numId w:val="1013"/>
        </w:numPr>
      </w:pPr>
      <w:r>
        <w:t xml:space="preserve">Missing clickjacking protection (5 instances)</w:t>
      </w:r>
    </w:p>
    <w:p>
      <w:pPr>
        <w:pStyle w:val="Compact"/>
        <w:numPr>
          <w:ilvl w:val="0"/>
          <w:numId w:val="1013"/>
        </w:numPr>
      </w:pPr>
      <w:r>
        <w:t xml:space="preserve">Improper security header configuration</w:t>
      </w:r>
    </w:p>
    <w:p>
      <w:pPr>
        <w:pStyle w:val="Compact"/>
        <w:numPr>
          <w:ilvl w:val="0"/>
          <w:numId w:val="1013"/>
        </w:numPr>
      </w:pPr>
      <w:r>
        <w:t xml:space="preserve">Missing X-Content-Type-Options</w:t>
      </w:r>
    </w:p>
    <w:p>
      <w:pPr>
        <w:pStyle w:val="Compact"/>
        <w:numPr>
          <w:ilvl w:val="0"/>
          <w:numId w:val="1013"/>
        </w:numPr>
      </w:pPr>
      <w:r>
        <w:t xml:space="preserve">HSTS configuration issues</w:t>
      </w:r>
    </w:p>
    <w:bookmarkEnd w:id="41"/>
    <w:bookmarkStart w:id="42" w:name="Xc67c451a52b54b5bfd5d827b2e9e90b4ffd2175"/>
    <w:p>
      <w:pPr>
        <w:pStyle w:val="Heading2"/>
      </w:pPr>
      <w:r>
        <w:t xml:space="preserve">A06:2021 – Vulnerable and Outdated Components</w:t>
      </w:r>
    </w:p>
    <w:p>
      <w:pPr>
        <w:pStyle w:val="BlockText"/>
      </w:pPr>
      <w:r>
        <w:rPr>
          <w:b/>
          <w:bCs/>
        </w:rPr>
        <w:t xml:space="preserve">Status</w:t>
      </w:r>
      <w:r>
        <w:t xml:space="preserve">: ⚠️</w:t>
      </w:r>
      <w:r>
        <w:t xml:space="preserve"> </w:t>
      </w:r>
      <w:r>
        <w:rPr>
          <w:b/>
          <w:bCs/>
        </w:rPr>
        <w:t xml:space="preserve">REQUIRES VERIFICATION</w:t>
      </w:r>
    </w:p>
    <w:p>
      <w:pPr>
        <w:pStyle w:val="FirstParagraph"/>
      </w:pPr>
      <w:r>
        <w:rPr>
          <w:b/>
          <w:bCs/>
        </w:rPr>
        <w:t xml:space="preserve">Identified Components:</w:t>
      </w:r>
    </w:p>
    <w:p>
      <w:pPr>
        <w:pStyle w:val="Compact"/>
        <w:numPr>
          <w:ilvl w:val="0"/>
          <w:numId w:val="1014"/>
        </w:numPr>
      </w:pPr>
      <w:r>
        <w:t xml:space="preserve">WordPress (version not determined)</w:t>
      </w:r>
    </w:p>
    <w:p>
      <w:pPr>
        <w:pStyle w:val="Compact"/>
        <w:numPr>
          <w:ilvl w:val="0"/>
          <w:numId w:val="1014"/>
        </w:numPr>
      </w:pPr>
      <w:r>
        <w:t xml:space="preserve">PHP (version not determined)</w:t>
      </w:r>
    </w:p>
    <w:p>
      <w:pPr>
        <w:pStyle w:val="Compact"/>
        <w:numPr>
          <w:ilvl w:val="0"/>
          <w:numId w:val="1014"/>
        </w:numPr>
      </w:pPr>
      <w:r>
        <w:t xml:space="preserve">LiteSpeed web server</w:t>
      </w:r>
    </w:p>
    <w:p>
      <w:pPr>
        <w:pStyle w:val="Compact"/>
        <w:numPr>
          <w:ilvl w:val="0"/>
          <w:numId w:val="1014"/>
        </w:numPr>
      </w:pPr>
      <w:r>
        <w:t xml:space="preserve">Multiple plugins: Blocksy, Stackable, LiteSpeed Cache</w:t>
      </w:r>
    </w:p>
    <w:p>
      <w:pPr>
        <w:pStyle w:val="FirstParagraph"/>
      </w:pPr>
      <w:r>
        <w:rPr>
          <w:b/>
          <w:bCs/>
        </w:rPr>
        <w:t xml:space="preserve">Recommendations:</w:t>
      </w:r>
      <w:r>
        <w:t xml:space="preserve"> </w:t>
      </w:r>
      <w:r>
        <w:t xml:space="preserve">Detailed version audit of all components required.</w:t>
      </w:r>
    </w:p>
    <w:bookmarkEnd w:id="42"/>
    <w:bookmarkStart w:id="43" w:name="Xf6ba55508b8c1e608e16ab13603dff097035fac"/>
    <w:p>
      <w:pPr>
        <w:pStyle w:val="Heading2"/>
      </w:pPr>
      <w:r>
        <w:t xml:space="preserve">A08:2021 – Software and Data Integrity Failures</w:t>
      </w:r>
    </w:p>
    <w:p>
      <w:pPr>
        <w:pStyle w:val="BlockText"/>
      </w:pPr>
      <w:r>
        <w:rPr>
          <w:b/>
          <w:bCs/>
        </w:rPr>
        <w:t xml:space="preserve">Status</w:t>
      </w:r>
      <w:r>
        <w:t xml:space="preserve">: ❌</w:t>
      </w:r>
      <w:r>
        <w:t xml:space="preserve"> </w:t>
      </w:r>
      <w:r>
        <w:rPr>
          <w:b/>
          <w:bCs/>
        </w:rPr>
        <w:t xml:space="preserve">NON-COMPLIANT</w:t>
      </w:r>
    </w:p>
    <w:p>
      <w:pPr>
        <w:pStyle w:val="FirstParagraph"/>
      </w:pPr>
      <w:r>
        <w:rPr>
          <w:b/>
          <w:bCs/>
        </w:rPr>
        <w:t xml:space="preserve">Issues:</w:t>
      </w:r>
    </w:p>
    <w:p>
      <w:pPr>
        <w:pStyle w:val="Compact"/>
        <w:numPr>
          <w:ilvl w:val="0"/>
          <w:numId w:val="1015"/>
        </w:numPr>
      </w:pPr>
      <w:r>
        <w:t xml:space="preserve">Missing Subresource Integrity for external resources (5 instances)</w:t>
      </w:r>
    </w:p>
    <w:p>
      <w:pPr>
        <w:pStyle w:val="Compact"/>
        <w:numPr>
          <w:ilvl w:val="0"/>
          <w:numId w:val="1015"/>
        </w:numPr>
      </w:pPr>
      <w:r>
        <w:t xml:space="preserve">Risk of compromise through CDN and external libraries</w:t>
      </w:r>
    </w:p>
    <w:p>
      <w:pPr>
        <w:pStyle w:val="Compact"/>
        <w:numPr>
          <w:ilvl w:val="0"/>
          <w:numId w:val="1015"/>
        </w:numPr>
      </w:pPr>
      <w:r>
        <w:t xml:space="preserve">Absence of update integrity verification</w:t>
      </w:r>
    </w:p>
    <w:bookmarkEnd w:id="43"/>
    <w:bookmarkStart w:id="44" w:name="Xd2ed9af7a535e835fb6ee656e680e747c95c8ac"/>
    <w:p>
      <w:pPr>
        <w:pStyle w:val="Heading2"/>
      </w:pPr>
      <w:r>
        <w:t xml:space="preserve">A09:2021 – Security Logging and Monitoring Failures</w:t>
      </w:r>
    </w:p>
    <w:p>
      <w:pPr>
        <w:pStyle w:val="BlockText"/>
      </w:pPr>
      <w:r>
        <w:rPr>
          <w:b/>
          <w:bCs/>
        </w:rPr>
        <w:t xml:space="preserve">Status</w:t>
      </w:r>
      <w:r>
        <w:t xml:space="preserve">: ❌</w:t>
      </w:r>
      <w:r>
        <w:t xml:space="preserve"> </w:t>
      </w:r>
      <w:r>
        <w:rPr>
          <w:b/>
          <w:bCs/>
        </w:rPr>
        <w:t xml:space="preserve">NON-COMPLIANT</w:t>
      </w:r>
    </w:p>
    <w:p>
      <w:pPr>
        <w:pStyle w:val="FirstParagraph"/>
      </w:pPr>
      <w:r>
        <w:rPr>
          <w:b/>
          <w:bCs/>
        </w:rPr>
        <w:t xml:space="preserve">Issues:</w:t>
      </w:r>
    </w:p>
    <w:p>
      <w:pPr>
        <w:pStyle w:val="Compact"/>
        <w:numPr>
          <w:ilvl w:val="0"/>
          <w:numId w:val="1016"/>
        </w:numPr>
      </w:pPr>
      <w:r>
        <w:t xml:space="preserve">No information about logging systems</w:t>
      </w:r>
    </w:p>
    <w:p>
      <w:pPr>
        <w:pStyle w:val="Compact"/>
        <w:numPr>
          <w:ilvl w:val="0"/>
          <w:numId w:val="1016"/>
        </w:numPr>
      </w:pPr>
      <w:r>
        <w:t xml:space="preserve">Unknown security monitoring status</w:t>
      </w:r>
    </w:p>
    <w:p>
      <w:pPr>
        <w:pStyle w:val="Compact"/>
        <w:numPr>
          <w:ilvl w:val="0"/>
          <w:numId w:val="1016"/>
        </w:numPr>
      </w:pPr>
      <w:r>
        <w:t xml:space="preserve">Absence of anomaly detection systems</w:t>
      </w:r>
    </w:p>
    <w:bookmarkEnd w:id="44"/>
    <w:bookmarkEnd w:id="45"/>
    <w:bookmarkStart w:id="52" w:name="X1d14538dfe98314983f2da70c029a5fa37675b4"/>
    <w:p>
      <w:pPr>
        <w:pStyle w:val="Heading1"/>
      </w:pPr>
      <w:r>
        <w:t xml:space="preserve">NIST Cybersecurity Framework 2.0 Compliance</w:t>
      </w:r>
    </w:p>
    <w:bookmarkStart w:id="46" w:name="govern-governance---20-compliance"/>
    <w:p>
      <w:pPr>
        <w:pStyle w:val="Heading2"/>
      </w:pPr>
      <w:r>
        <w:t xml:space="preserve">GOVERN (Governance) - 20% Compliance</w:t>
      </w:r>
    </w:p>
    <w:p>
      <w:pPr>
        <w:pStyle w:val="FirstParagraph"/>
      </w:pPr>
      <w:r>
        <w:rPr>
          <w:b/>
          <w:bCs/>
        </w:rPr>
        <w:t xml:space="preserve">GV.OC-01: Organizational Cybersecurity</w:t>
      </w:r>
    </w:p>
    <w:p>
      <w:pPr>
        <w:pStyle w:val="Compact"/>
        <w:numPr>
          <w:ilvl w:val="0"/>
          <w:numId w:val="1017"/>
        </w:numPr>
      </w:pPr>
      <w:r>
        <w:t xml:space="preserve">❌ No evidence of formalized security policy</w:t>
      </w:r>
    </w:p>
    <w:p>
      <w:pPr>
        <w:pStyle w:val="FirstParagraph"/>
      </w:pPr>
      <w:r>
        <w:rPr>
          <w:b/>
          <w:bCs/>
        </w:rPr>
        <w:t xml:space="preserve">GV.RM-01: Risk Management</w:t>
      </w:r>
    </w:p>
    <w:p>
      <w:pPr>
        <w:pStyle w:val="Compact"/>
        <w:numPr>
          <w:ilvl w:val="0"/>
          <w:numId w:val="1018"/>
        </w:numPr>
      </w:pPr>
      <w:r>
        <w:t xml:space="preserve">❌ No cybersecurity risk management procedures implemented</w:t>
      </w:r>
    </w:p>
    <w:p>
      <w:pPr>
        <w:pStyle w:val="FirstParagraph"/>
      </w:pPr>
      <w:r>
        <w:rPr>
          <w:b/>
          <w:bCs/>
        </w:rPr>
        <w:t xml:space="preserve">GV.SC-01: Supply Chain Management</w:t>
      </w:r>
    </w:p>
    <w:p>
      <w:pPr>
        <w:pStyle w:val="Compact"/>
        <w:numPr>
          <w:ilvl w:val="0"/>
          <w:numId w:val="1019"/>
        </w:numPr>
      </w:pPr>
      <w:r>
        <w:t xml:space="preserve">❌ No external resource integrity controls</w:t>
      </w:r>
    </w:p>
    <w:bookmarkEnd w:id="46"/>
    <w:bookmarkStart w:id="47" w:name="identify-identification---60-compliance"/>
    <w:p>
      <w:pPr>
        <w:pStyle w:val="Heading2"/>
      </w:pPr>
      <w:r>
        <w:t xml:space="preserve">IDENTIFY (Identification) - 60% Compliance</w:t>
      </w:r>
    </w:p>
    <w:p>
      <w:pPr>
        <w:pStyle w:val="FirstParagraph"/>
      </w:pPr>
      <w:r>
        <w:rPr>
          <w:b/>
          <w:bCs/>
        </w:rPr>
        <w:t xml:space="preserve">ID.AM-02: Software Asset Inventory</w:t>
      </w:r>
    </w:p>
    <w:p>
      <w:pPr>
        <w:pStyle w:val="Compact"/>
        <w:numPr>
          <w:ilvl w:val="0"/>
          <w:numId w:val="1020"/>
        </w:numPr>
      </w:pPr>
      <w:r>
        <w:t xml:space="preserve">✅ Partially completed - main components identified</w:t>
      </w:r>
    </w:p>
    <w:p>
      <w:pPr>
        <w:pStyle w:val="FirstParagraph"/>
      </w:pPr>
      <w:r>
        <w:rPr>
          <w:b/>
          <w:bCs/>
        </w:rPr>
        <w:t xml:space="preserve">ID.RA-01: Vulnerability Assessment</w:t>
      </w:r>
    </w:p>
    <w:p>
      <w:pPr>
        <w:pStyle w:val="Compact"/>
        <w:numPr>
          <w:ilvl w:val="0"/>
          <w:numId w:val="1021"/>
        </w:numPr>
      </w:pPr>
      <w:r>
        <w:t xml:space="preserve">✅ Completed - security scanning performed</w:t>
      </w:r>
    </w:p>
    <w:p>
      <w:pPr>
        <w:pStyle w:val="FirstParagraph"/>
      </w:pPr>
      <w:r>
        <w:rPr>
          <w:b/>
          <w:bCs/>
        </w:rPr>
        <w:t xml:space="preserve">ID.RA-02: Threat Analysis</w:t>
      </w:r>
    </w:p>
    <w:p>
      <w:pPr>
        <w:pStyle w:val="Compact"/>
        <w:numPr>
          <w:ilvl w:val="0"/>
          <w:numId w:val="1022"/>
        </w:numPr>
      </w:pPr>
      <w:r>
        <w:t xml:space="preserve">❌ No systematic threat analysis</w:t>
      </w:r>
    </w:p>
    <w:bookmarkEnd w:id="47"/>
    <w:bookmarkStart w:id="48" w:name="protect-protection---15-compliance"/>
    <w:p>
      <w:pPr>
        <w:pStyle w:val="Heading2"/>
      </w:pPr>
      <w:r>
        <w:t xml:space="preserve">PROTECT (Protection) - 15% Compliance</w:t>
      </w:r>
    </w:p>
    <w:p>
      <w:pPr>
        <w:pStyle w:val="FirstParagraph"/>
      </w:pPr>
      <w:r>
        <w:rPr>
          <w:b/>
          <w:bCs/>
        </w:rPr>
        <w:t xml:space="preserve">PR.AC-01: Identity and Authentication Management</w:t>
      </w:r>
    </w:p>
    <w:p>
      <w:pPr>
        <w:pStyle w:val="Compact"/>
        <w:numPr>
          <w:ilvl w:val="0"/>
          <w:numId w:val="1023"/>
        </w:numPr>
      </w:pPr>
      <w:r>
        <w:t xml:space="preserve">❌ Insufficient data for assessment</w:t>
      </w:r>
    </w:p>
    <w:p>
      <w:pPr>
        <w:pStyle w:val="FirstParagraph"/>
      </w:pPr>
      <w:r>
        <w:rPr>
          <w:b/>
          <w:bCs/>
        </w:rPr>
        <w:t xml:space="preserve">PR.DS-01: Data at Rest Protection</w:t>
      </w:r>
    </w:p>
    <w:p>
      <w:pPr>
        <w:pStyle w:val="Compact"/>
        <w:numPr>
          <w:ilvl w:val="0"/>
          <w:numId w:val="1024"/>
        </w:numPr>
      </w:pPr>
      <w:r>
        <w:t xml:space="preserve">❌ PII disclosure detected</w:t>
      </w:r>
    </w:p>
    <w:p>
      <w:pPr>
        <w:pStyle w:val="FirstParagraph"/>
      </w:pPr>
      <w:r>
        <w:rPr>
          <w:b/>
          <w:bCs/>
        </w:rPr>
        <w:t xml:space="preserve">PR.DS-02: Data in Transit Protection</w:t>
      </w:r>
    </w:p>
    <w:p>
      <w:pPr>
        <w:pStyle w:val="Compact"/>
        <w:numPr>
          <w:ilvl w:val="0"/>
          <w:numId w:val="1025"/>
        </w:numPr>
      </w:pPr>
      <w:r>
        <w:t xml:space="preserve">⚠️ Partially implemented (HTTPS, but HSTS issues)</w:t>
      </w:r>
    </w:p>
    <w:p>
      <w:pPr>
        <w:pStyle w:val="FirstParagraph"/>
      </w:pPr>
      <w:r>
        <w:rPr>
          <w:b/>
          <w:bCs/>
        </w:rPr>
        <w:t xml:space="preserve">PR.PT-01: Audit/Logging</w:t>
      </w:r>
    </w:p>
    <w:p>
      <w:pPr>
        <w:pStyle w:val="Compact"/>
        <w:numPr>
          <w:ilvl w:val="0"/>
          <w:numId w:val="1026"/>
        </w:numPr>
      </w:pPr>
      <w:r>
        <w:t xml:space="preserve">❌ Insufficient information about audit systems</w:t>
      </w:r>
    </w:p>
    <w:bookmarkEnd w:id="48"/>
    <w:bookmarkStart w:id="49" w:name="detect-detection---0-compliance"/>
    <w:p>
      <w:pPr>
        <w:pStyle w:val="Heading2"/>
      </w:pPr>
      <w:r>
        <w:t xml:space="preserve">DETECT (Detection) - 0% Compliance</w:t>
      </w:r>
    </w:p>
    <w:p>
      <w:pPr>
        <w:pStyle w:val="FirstParagraph"/>
      </w:pPr>
      <w:r>
        <w:rPr>
          <w:b/>
          <w:bCs/>
        </w:rPr>
        <w:t xml:space="preserve">DE.CM-01: Network Monitoring</w:t>
      </w:r>
    </w:p>
    <w:p>
      <w:pPr>
        <w:pStyle w:val="Compact"/>
        <w:numPr>
          <w:ilvl w:val="0"/>
          <w:numId w:val="1027"/>
        </w:numPr>
      </w:pPr>
      <w:r>
        <w:t xml:space="preserve">❌ No evidence of monitoring</w:t>
      </w:r>
    </w:p>
    <w:p>
      <w:pPr>
        <w:pStyle w:val="FirstParagraph"/>
      </w:pPr>
      <w:r>
        <w:rPr>
          <w:b/>
          <w:bCs/>
        </w:rPr>
        <w:t xml:space="preserve">DE.AE-01: Anomaly Detection</w:t>
      </w:r>
    </w:p>
    <w:p>
      <w:pPr>
        <w:pStyle w:val="Compact"/>
        <w:numPr>
          <w:ilvl w:val="0"/>
          <w:numId w:val="1028"/>
        </w:numPr>
      </w:pPr>
      <w:r>
        <w:t xml:space="preserve">❌ No anomaly detection systems</w:t>
      </w:r>
    </w:p>
    <w:bookmarkEnd w:id="49"/>
    <w:bookmarkStart w:id="50" w:name="respond-response---0-compliance"/>
    <w:p>
      <w:pPr>
        <w:pStyle w:val="Heading2"/>
      </w:pPr>
      <w:r>
        <w:t xml:space="preserve">RESPOND (Response) - 0% Compliance</w:t>
      </w:r>
    </w:p>
    <w:p>
      <w:pPr>
        <w:pStyle w:val="FirstParagraph"/>
      </w:pPr>
      <w:r>
        <w:rPr>
          <w:b/>
          <w:bCs/>
        </w:rPr>
        <w:t xml:space="preserve">RS.RP-01: Response Planning</w:t>
      </w:r>
    </w:p>
    <w:p>
      <w:pPr>
        <w:pStyle w:val="Compact"/>
        <w:numPr>
          <w:ilvl w:val="0"/>
          <w:numId w:val="1029"/>
        </w:numPr>
      </w:pPr>
      <w:r>
        <w:t xml:space="preserve">❌ No evidence of response plan</w:t>
      </w:r>
    </w:p>
    <w:p>
      <w:pPr>
        <w:pStyle w:val="FirstParagraph"/>
      </w:pPr>
      <w:r>
        <w:rPr>
          <w:b/>
          <w:bCs/>
        </w:rPr>
        <w:t xml:space="preserve">RS.CO-01: Communications</w:t>
      </w:r>
    </w:p>
    <w:p>
      <w:pPr>
        <w:pStyle w:val="Compact"/>
        <w:numPr>
          <w:ilvl w:val="0"/>
          <w:numId w:val="1030"/>
        </w:numPr>
      </w:pPr>
      <w:r>
        <w:t xml:space="preserve">❌ No incident notification procedures</w:t>
      </w:r>
    </w:p>
    <w:bookmarkEnd w:id="50"/>
    <w:bookmarkStart w:id="51" w:name="recover-recovery---0-compliance"/>
    <w:p>
      <w:pPr>
        <w:pStyle w:val="Heading2"/>
      </w:pPr>
      <w:r>
        <w:t xml:space="preserve">RECOVER (Recovery) - 0% Compliance</w:t>
      </w:r>
    </w:p>
    <w:p>
      <w:pPr>
        <w:pStyle w:val="FirstParagraph"/>
      </w:pPr>
      <w:r>
        <w:rPr>
          <w:b/>
          <w:bCs/>
        </w:rPr>
        <w:t xml:space="preserve">RC.RP-01: Recovery Planning</w:t>
      </w:r>
    </w:p>
    <w:p>
      <w:pPr>
        <w:pStyle w:val="Compact"/>
        <w:numPr>
          <w:ilvl w:val="0"/>
          <w:numId w:val="1031"/>
        </w:numPr>
      </w:pPr>
      <w:r>
        <w:t xml:space="preserve">❌ No evidence of recovery plan</w:t>
      </w:r>
    </w:p>
    <w:p>
      <w:pPr>
        <w:pStyle w:val="FirstParagraph"/>
      </w:pPr>
      <w:r>
        <w:rPr>
          <w:b/>
          <w:bCs/>
        </w:rPr>
        <w:t xml:space="preserve">RC.CO-01: Recovery Communications</w:t>
      </w:r>
    </w:p>
    <w:p>
      <w:pPr>
        <w:pStyle w:val="Compact"/>
        <w:numPr>
          <w:ilvl w:val="0"/>
          <w:numId w:val="1032"/>
        </w:numPr>
      </w:pPr>
      <w:r>
        <w:t xml:space="preserve">❌ No recovery communication procedures</w:t>
      </w:r>
    </w:p>
    <w:bookmarkEnd w:id="51"/>
    <w:bookmarkEnd w:id="52"/>
    <w:bookmarkStart w:id="57" w:name="microsoft-security-baseline-compliance"/>
    <w:p>
      <w:pPr>
        <w:pStyle w:val="Heading1"/>
      </w:pPr>
      <w:r>
        <w:t xml:space="preserve">Microsoft Security Baseline Compliance</w:t>
      </w:r>
    </w:p>
    <w:bookmarkStart w:id="53" w:name="transport-security"/>
    <w:p>
      <w:pPr>
        <w:pStyle w:val="Heading2"/>
      </w:pPr>
      <w:r>
        <w:t xml:space="preserve">Transport Security</w:t>
      </w:r>
    </w:p>
    <w:p>
      <w:pPr>
        <w:pStyle w:val="FirstParagraph"/>
      </w:pPr>
      <w:r>
        <w:t xml:space="preserve">❌</w:t>
      </w:r>
      <w:r>
        <w:t xml:space="preserve"> </w:t>
      </w:r>
      <w:r>
        <w:rPr>
          <w:b/>
          <w:bCs/>
        </w:rPr>
        <w:t xml:space="preserve">CRITICAL DEFICIENCIES:</w:t>
      </w:r>
    </w:p>
    <w:p>
      <w:pPr>
        <w:pStyle w:val="Compact"/>
        <w:numPr>
          <w:ilvl w:val="0"/>
          <w:numId w:val="1033"/>
        </w:numPr>
      </w:pPr>
      <w:r>
        <w:t xml:space="preserve">Strict-Transport-Security header not set (1 instance)</w:t>
      </w:r>
    </w:p>
    <w:p>
      <w:pPr>
        <w:pStyle w:val="Compact"/>
        <w:numPr>
          <w:ilvl w:val="0"/>
          <w:numId w:val="1033"/>
        </w:numPr>
      </w:pPr>
      <w:r>
        <w:t xml:space="preserve">Strict transport security disabled (5 instances)</w:t>
      </w:r>
    </w:p>
    <w:p>
      <w:pPr>
        <w:pStyle w:val="Compact"/>
        <w:numPr>
          <w:ilvl w:val="0"/>
          <w:numId w:val="1033"/>
        </w:numPr>
      </w:pPr>
      <w:r>
        <w:t xml:space="preserve">No mandatory HTTPS enforcement for all resources</w:t>
      </w:r>
    </w:p>
    <w:bookmarkEnd w:id="53"/>
    <w:bookmarkStart w:id="54" w:name="content-protection"/>
    <w:p>
      <w:pPr>
        <w:pStyle w:val="Heading2"/>
      </w:pPr>
      <w:r>
        <w:t xml:space="preserve">Content Protection</w:t>
      </w:r>
    </w:p>
    <w:p>
      <w:pPr>
        <w:pStyle w:val="FirstParagraph"/>
      </w:pPr>
      <w:r>
        <w:t xml:space="preserve">❌</w:t>
      </w:r>
      <w:r>
        <w:t xml:space="preserve"> </w:t>
      </w:r>
      <w:r>
        <w:rPr>
          <w:b/>
          <w:bCs/>
        </w:rPr>
        <w:t xml:space="preserve">CRITICAL DEFICIENCIES:</w:t>
      </w:r>
    </w:p>
    <w:p>
      <w:pPr>
        <w:pStyle w:val="Compact"/>
        <w:numPr>
          <w:ilvl w:val="0"/>
          <w:numId w:val="1034"/>
        </w:numPr>
      </w:pPr>
      <w:r>
        <w:t xml:space="preserve">X-Content-Type-Options header missing</w:t>
      </w:r>
    </w:p>
    <w:p>
      <w:pPr>
        <w:pStyle w:val="Compact"/>
        <w:numPr>
          <w:ilvl w:val="0"/>
          <w:numId w:val="1034"/>
        </w:numPr>
      </w:pPr>
      <w:r>
        <w:t xml:space="preserve">Content Security Policy missing (5 instances)</w:t>
      </w:r>
    </w:p>
    <w:p>
      <w:pPr>
        <w:pStyle w:val="Compact"/>
        <w:numPr>
          <w:ilvl w:val="0"/>
          <w:numId w:val="1034"/>
        </w:numPr>
      </w:pPr>
      <w:r>
        <w:t xml:space="preserve">No MIME-sniffing attack protection</w:t>
      </w:r>
    </w:p>
    <w:p>
      <w:pPr>
        <w:pStyle w:val="Compact"/>
        <w:numPr>
          <w:ilvl w:val="0"/>
          <w:numId w:val="1034"/>
        </w:numPr>
      </w:pPr>
      <w:r>
        <w:t xml:space="preserve">Missing clickjacking protection</w:t>
      </w:r>
    </w:p>
    <w:bookmarkEnd w:id="54"/>
    <w:bookmarkStart w:id="55" w:name="resource-integrity"/>
    <w:p>
      <w:pPr>
        <w:pStyle w:val="Heading2"/>
      </w:pPr>
      <w:r>
        <w:t xml:space="preserve">Resource Integrity</w:t>
      </w:r>
    </w:p>
    <w:p>
      <w:pPr>
        <w:pStyle w:val="FirstParagraph"/>
      </w:pPr>
      <w:r>
        <w:t xml:space="preserve">❌</w:t>
      </w:r>
      <w:r>
        <w:t xml:space="preserve"> </w:t>
      </w:r>
      <w:r>
        <w:rPr>
          <w:b/>
          <w:bCs/>
        </w:rPr>
        <w:t xml:space="preserve">MEDIUM RISK:</w:t>
      </w:r>
    </w:p>
    <w:p>
      <w:pPr>
        <w:pStyle w:val="Compact"/>
        <w:numPr>
          <w:ilvl w:val="0"/>
          <w:numId w:val="1035"/>
        </w:numPr>
      </w:pPr>
      <w:r>
        <w:t xml:space="preserve">Missing Subresource Integrity attribute for external resources (5 instances)</w:t>
      </w:r>
    </w:p>
    <w:p>
      <w:pPr>
        <w:pStyle w:val="Compact"/>
        <w:numPr>
          <w:ilvl w:val="0"/>
          <w:numId w:val="1035"/>
        </w:numPr>
      </w:pPr>
      <w:r>
        <w:t xml:space="preserve">Risk of external library compromise from Google Font API, Cloudflare, and other CDNs</w:t>
      </w:r>
    </w:p>
    <w:p>
      <w:pPr>
        <w:pStyle w:val="Compact"/>
        <w:numPr>
          <w:ilvl w:val="0"/>
          <w:numId w:val="1035"/>
        </w:numPr>
      </w:pPr>
      <w:r>
        <w:t xml:space="preserve">No resource loading integrity verification</w:t>
      </w:r>
    </w:p>
    <w:bookmarkEnd w:id="55"/>
    <w:bookmarkStart w:id="56" w:name="data-management"/>
    <w:p>
      <w:pPr>
        <w:pStyle w:val="Heading2"/>
      </w:pPr>
      <w:r>
        <w:t xml:space="preserve">Data Management</w:t>
      </w:r>
    </w:p>
    <w:p>
      <w:pPr>
        <w:pStyle w:val="FirstParagraph"/>
      </w:pPr>
      <w:r>
        <w:t xml:space="preserve">❌</w:t>
      </w:r>
      <w:r>
        <w:t xml:space="preserve"> </w:t>
      </w:r>
      <w:r>
        <w:rPr>
          <w:b/>
          <w:bCs/>
        </w:rPr>
        <w:t xml:space="preserve">CRITICAL RISK:</w:t>
      </w:r>
    </w:p>
    <w:p>
      <w:pPr>
        <w:pStyle w:val="Compact"/>
        <w:numPr>
          <w:ilvl w:val="0"/>
          <w:numId w:val="1036"/>
        </w:numPr>
      </w:pPr>
      <w:r>
        <w:t xml:space="preserve">Personal data disclosure detected</w:t>
      </w:r>
    </w:p>
    <w:p>
      <w:pPr>
        <w:pStyle w:val="Compact"/>
        <w:numPr>
          <w:ilvl w:val="0"/>
          <w:numId w:val="1036"/>
        </w:numPr>
      </w:pPr>
      <w:r>
        <w:t xml:space="preserve">No data classification</w:t>
      </w:r>
    </w:p>
    <w:p>
      <w:pPr>
        <w:pStyle w:val="Compact"/>
        <w:numPr>
          <w:ilvl w:val="0"/>
          <w:numId w:val="1036"/>
        </w:numPr>
      </w:pPr>
      <w:r>
        <w:t xml:space="preserve">No access control for sensitive information</w:t>
      </w:r>
    </w:p>
    <w:bookmarkEnd w:id="56"/>
    <w:bookmarkEnd w:id="57"/>
    <w:bookmarkStart w:id="61" w:name="vulnerability-remediation-plan"/>
    <w:p>
      <w:pPr>
        <w:pStyle w:val="Heading1"/>
      </w:pPr>
      <w:r>
        <w:t xml:space="preserve">Vulnerability Remediation Plan</w:t>
      </w:r>
    </w:p>
    <w:bookmarkStart w:id="58" w:name="phase-1-critical-fixes-0-7-days"/>
    <w:p>
      <w:pPr>
        <w:pStyle w:val="Heading2"/>
      </w:pPr>
      <w:r>
        <w:t xml:space="preserve">Phase 1: Critical Fixes (0-7 days)</w:t>
      </w:r>
    </w:p>
    <w:p>
      <w:pPr>
        <w:pStyle w:val="FirstParagraph"/>
      </w:pPr>
      <w:r>
        <w:rPr>
          <w:b/>
          <w:bCs/>
        </w:rPr>
        <w:t xml:space="preserve">🚨 PRIORITY 1: PII Disclosure Remediation (0-3 days)</w:t>
      </w:r>
    </w:p>
    <w:p>
      <w:pPr>
        <w:pStyle w:val="Compact"/>
        <w:numPr>
          <w:ilvl w:val="0"/>
          <w:numId w:val="1037"/>
        </w:numPr>
      </w:pPr>
      <w:r>
        <w:t xml:space="preserve">☐</w:t>
      </w:r>
      <w:r>
        <w:t xml:space="preserve"> </w:t>
      </w:r>
      <w:r>
        <w:rPr>
          <w:b/>
          <w:bCs/>
        </w:rPr>
        <w:t xml:space="preserve">Day 1</w:t>
      </w:r>
      <w:r>
        <w:t xml:space="preserve">: Immediate identification and blocking of PII disclosure sources</w:t>
      </w:r>
    </w:p>
    <w:p>
      <w:pPr>
        <w:pStyle w:val="Compact"/>
        <w:numPr>
          <w:ilvl w:val="0"/>
          <w:numId w:val="1037"/>
        </w:numPr>
      </w:pPr>
      <w:r>
        <w:t xml:space="preserve">☐</w:t>
      </w:r>
      <w:r>
        <w:t xml:space="preserve"> </w:t>
      </w:r>
      <w:r>
        <w:rPr>
          <w:b/>
          <w:bCs/>
        </w:rPr>
        <w:t xml:space="preserve">Day 2</w:t>
      </w:r>
      <w:r>
        <w:t xml:space="preserve">: Implement masking/encryption of sensitive data</w:t>
      </w:r>
    </w:p>
    <w:p>
      <w:pPr>
        <w:pStyle w:val="Compact"/>
        <w:numPr>
          <w:ilvl w:val="0"/>
          <w:numId w:val="1037"/>
        </w:numPr>
      </w:pPr>
      <w:r>
        <w:t xml:space="preserve">☐</w:t>
      </w:r>
      <w:r>
        <w:t xml:space="preserve"> </w:t>
      </w:r>
      <w:r>
        <w:rPr>
          <w:b/>
          <w:bCs/>
        </w:rPr>
        <w:t xml:space="preserve">Day 3</w:t>
      </w:r>
      <w:r>
        <w:t xml:space="preserve">: Deploy strict access controls for personal data</w:t>
      </w:r>
    </w:p>
    <w:p>
      <w:pPr>
        <w:pStyle w:val="Compact"/>
        <w:numPr>
          <w:ilvl w:val="0"/>
          <w:numId w:val="1037"/>
        </w:numPr>
      </w:pPr>
      <w:r>
        <w:t xml:space="preserve">☐</w:t>
      </w:r>
      <w:r>
        <w:t xml:space="preserve"> </w:t>
      </w:r>
      <w:r>
        <w:rPr>
          <w:b/>
          <w:bCs/>
        </w:rPr>
        <w:t xml:space="preserve">Day 3</w:t>
      </w:r>
      <w:r>
        <w:t xml:space="preserve">: Notify regulators per GDPR requirements (72 hours)</w:t>
      </w:r>
    </w:p>
    <w:p>
      <w:pPr>
        <w:pStyle w:val="FirstParagraph"/>
      </w:pPr>
      <w:r>
        <w:rPr>
          <w:b/>
          <w:bCs/>
        </w:rPr>
        <w:t xml:space="preserve">🔧 PRIORITY 2: Basic Security Headers (4-7 days)</w:t>
      </w:r>
    </w:p>
    <w:p>
      <w:pPr>
        <w:pStyle w:val="Compact"/>
        <w:numPr>
          <w:ilvl w:val="0"/>
          <w:numId w:val="1038"/>
        </w:numPr>
      </w:pPr>
      <w:r>
        <w:t xml:space="preserve">☐</w:t>
      </w:r>
      <w:r>
        <w:t xml:space="preserve"> </w:t>
      </w:r>
      <w:r>
        <w:rPr>
          <w:b/>
          <w:bCs/>
        </w:rPr>
        <w:t xml:space="preserve">Day 4-5</w:t>
      </w:r>
      <w:r>
        <w:t xml:space="preserve">: Implement Content Security Policy</w:t>
      </w:r>
    </w:p>
    <w:p>
      <w:pPr>
        <w:pStyle w:val="SourceCode"/>
      </w:pPr>
      <w:r>
        <w:rPr>
          <w:rStyle w:val="VerbatimChar"/>
        </w:rPr>
        <w:t xml:space="preserve">Content-Security-Policy: default-src 'self'; </w:t>
      </w:r>
      <w:r>
        <w:br/>
      </w:r>
      <w:r>
        <w:rPr>
          <w:rStyle w:val="VerbatimChar"/>
        </w:rPr>
        <w:t xml:space="preserve">script-src 'self' 'unsafe-inline' https://cdnjs.cloudflare.com https://fonts.googleapis.com; </w:t>
      </w:r>
      <w:r>
        <w:br/>
      </w:r>
      <w:r>
        <w:rPr>
          <w:rStyle w:val="VerbatimChar"/>
        </w:rPr>
        <w:t xml:space="preserve">style-src 'self' 'unsafe-inline' https://fonts.googleapis.com;</w:t>
      </w:r>
      <w:r>
        <w:br/>
      </w:r>
      <w:r>
        <w:rPr>
          <w:rStyle w:val="VerbatimChar"/>
        </w:rPr>
        <w:t xml:space="preserve">img-src 'self' data: https: https://secure.gravatar.com;</w:t>
      </w:r>
      <w:r>
        <w:br/>
      </w:r>
      <w:r>
        <w:rPr>
          <w:rStyle w:val="VerbatimChar"/>
        </w:rPr>
        <w:t xml:space="preserve">frame-ancestors 'none';</w:t>
      </w:r>
      <w:r>
        <w:br/>
      </w:r>
      <w:r>
        <w:rPr>
          <w:rStyle w:val="VerbatimChar"/>
        </w:rPr>
        <w:t xml:space="preserve">base-uri 'self';</w:t>
      </w:r>
    </w:p>
    <w:p>
      <w:pPr>
        <w:pStyle w:val="Compact"/>
        <w:numPr>
          <w:ilvl w:val="0"/>
          <w:numId w:val="1039"/>
        </w:numPr>
      </w:pPr>
      <w:r>
        <w:t xml:space="preserve">☐</w:t>
      </w:r>
      <w:r>
        <w:t xml:space="preserve"> </w:t>
      </w:r>
      <w:r>
        <w:rPr>
          <w:b/>
          <w:bCs/>
        </w:rPr>
        <w:t xml:space="preserve">Day 6</w:t>
      </w:r>
      <w:r>
        <w:t xml:space="preserve">: Configure clickjacking protection</w:t>
      </w:r>
    </w:p>
    <w:p>
      <w:pPr>
        <w:pStyle w:val="SourceCode"/>
      </w:pPr>
      <w:r>
        <w:rPr>
          <w:rStyle w:val="VerbatimChar"/>
        </w:rPr>
        <w:t xml:space="preserve">X-Frame-Options: DENY</w:t>
      </w:r>
    </w:p>
    <w:p>
      <w:pPr>
        <w:pStyle w:val="Compact"/>
        <w:numPr>
          <w:ilvl w:val="0"/>
          <w:numId w:val="1040"/>
        </w:numPr>
      </w:pPr>
      <w:r>
        <w:t xml:space="preserve">☐</w:t>
      </w:r>
      <w:r>
        <w:t xml:space="preserve"> </w:t>
      </w:r>
      <w:r>
        <w:rPr>
          <w:b/>
          <w:bCs/>
        </w:rPr>
        <w:t xml:space="preserve">Day 6</w:t>
      </w:r>
      <w:r>
        <w:t xml:space="preserve">: Configure HSTS</w:t>
      </w:r>
    </w:p>
    <w:p>
      <w:pPr>
        <w:pStyle w:val="SourceCode"/>
      </w:pPr>
      <w:r>
        <w:rPr>
          <w:rStyle w:val="VerbatimChar"/>
        </w:rPr>
        <w:t xml:space="preserve">Strict-Transport-Security: max-age=31536000; includeSubDomains; preload</w:t>
      </w:r>
    </w:p>
    <w:p>
      <w:pPr>
        <w:pStyle w:val="Compact"/>
        <w:numPr>
          <w:ilvl w:val="0"/>
          <w:numId w:val="1041"/>
        </w:numPr>
      </w:pPr>
      <w:r>
        <w:t xml:space="preserve">☐</w:t>
      </w:r>
      <w:r>
        <w:t xml:space="preserve"> </w:t>
      </w:r>
      <w:r>
        <w:rPr>
          <w:b/>
          <w:bCs/>
        </w:rPr>
        <w:t xml:space="preserve">Day 7</w:t>
      </w:r>
      <w:r>
        <w:t xml:space="preserve">: Testing and validation of changes</w:t>
      </w:r>
    </w:p>
    <w:bookmarkEnd w:id="58"/>
    <w:bookmarkStart w:id="59" w:name="phase-2-medium-priority-fixes-8-30-days"/>
    <w:p>
      <w:pPr>
        <w:pStyle w:val="Heading2"/>
      </w:pPr>
      <w:r>
        <w:t xml:space="preserve">Phase 2: Medium Priority Fixes (8-30 days)</w:t>
      </w:r>
    </w:p>
    <w:p>
      <w:pPr>
        <w:pStyle w:val="FirstParagraph"/>
      </w:pPr>
      <w:r>
        <w:rPr>
          <w:b/>
          <w:bCs/>
        </w:rPr>
        <w:t xml:space="preserve">Week 2: Subresource Integrity</w:t>
      </w:r>
    </w:p>
    <w:p>
      <w:pPr>
        <w:pStyle w:val="Compact"/>
        <w:numPr>
          <w:ilvl w:val="0"/>
          <w:numId w:val="1042"/>
        </w:numPr>
      </w:pPr>
      <w:r>
        <w:t xml:space="preserve">☐ Implement SRI for all external resources</w:t>
      </w:r>
    </w:p>
    <w:p>
      <w:pPr>
        <w:pStyle w:val="SourceCode"/>
      </w:pP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rPr>
          <w:rStyle w:val="OtherTok"/>
        </w:rPr>
        <w:t xml:space="preserve"> </w:t>
      </w:r>
      <w:r>
        <w:br/>
      </w:r>
      <w:r>
        <w:rPr>
          <w:rStyle w:val="OtherTok"/>
        </w:rPr>
        <w:t xml:space="preserve">      integrity</w:t>
      </w:r>
      <w:r>
        <w:rPr>
          <w:rStyle w:val="OperatorTok"/>
        </w:rPr>
        <w:t xml:space="preserve">=</w:t>
      </w:r>
      <w:r>
        <w:rPr>
          <w:rStyle w:val="StringTok"/>
        </w:rPr>
        <w:t xml:space="preserve">"sha384-hash"</w:t>
      </w:r>
      <w:r>
        <w:rPr>
          <w:rStyle w:val="OtherTok"/>
        </w:rPr>
        <w:t xml:space="preserve"> </w:t>
      </w:r>
      <w:r>
        <w:br/>
      </w:r>
      <w:r>
        <w:rPr>
          <w:rStyle w:val="OtherTok"/>
        </w:rPr>
        <w:t xml:space="preserve">      crossorigin</w:t>
      </w:r>
      <w:r>
        <w:rPr>
          <w:rStyle w:val="OperatorTok"/>
        </w:rPr>
        <w:t xml:space="preserve">=</w:t>
      </w:r>
      <w:r>
        <w:rPr>
          <w:rStyle w:val="StringTok"/>
        </w:rPr>
        <w:t xml:space="preserve">"anonymous"</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rPr>
          <w:rStyle w:val="OtherTok"/>
        </w:rPr>
        <w:t xml:space="preserve"> </w:t>
      </w:r>
      <w:r>
        <w:br/>
      </w:r>
      <w:r>
        <w:rPr>
          <w:rStyle w:val="OtherTok"/>
        </w:rPr>
        <w:t xml:space="preserve">        integrity</w:t>
      </w:r>
      <w:r>
        <w:rPr>
          <w:rStyle w:val="OperatorTok"/>
        </w:rPr>
        <w:t xml:space="preserve">=</w:t>
      </w:r>
      <w:r>
        <w:rPr>
          <w:rStyle w:val="StringTok"/>
        </w:rPr>
        <w:t xml:space="preserve">"sha384-vtXRMe3mGCbOeY7l30aIg8H9p3GdeSe4IFlP6G8JMa7o7lXvnz3GFKzPxzJdPfGK"</w:t>
      </w:r>
      <w:r>
        <w:rPr>
          <w:rStyle w:val="OtherTok"/>
        </w:rPr>
        <w:t xml:space="preserve"> </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Week 3: Additional Security Headers</w:t>
      </w:r>
    </w:p>
    <w:p>
      <w:pPr>
        <w:pStyle w:val="Compact"/>
        <w:numPr>
          <w:ilvl w:val="0"/>
          <w:numId w:val="1043"/>
        </w:numPr>
      </w:pPr>
      <w:r>
        <w:t xml:space="preserve">☐ Implement X-Content-Type-Options</w:t>
      </w:r>
    </w:p>
    <w:p>
      <w:pPr>
        <w:pStyle w:val="SourceCode"/>
      </w:pPr>
      <w:r>
        <w:rPr>
          <w:rStyle w:val="VerbatimChar"/>
        </w:rPr>
        <w:t xml:space="preserve">X-Content-Type-Options: nosniff</w:t>
      </w:r>
    </w:p>
    <w:p>
      <w:pPr>
        <w:pStyle w:val="Compact"/>
        <w:numPr>
          <w:ilvl w:val="0"/>
          <w:numId w:val="1044"/>
        </w:numPr>
      </w:pPr>
      <w:r>
        <w:t xml:space="preserve">☐ Configure additional headers</w:t>
      </w:r>
    </w:p>
    <w:p>
      <w:pPr>
        <w:pStyle w:val="SourceCode"/>
      </w:pPr>
      <w:r>
        <w:rPr>
          <w:rStyle w:val="VerbatimChar"/>
        </w:rPr>
        <w:t xml:space="preserve">X-XSS-Protection: 1; mode=block</w:t>
      </w:r>
      <w:r>
        <w:br/>
      </w:r>
      <w:r>
        <w:rPr>
          <w:rStyle w:val="VerbatimChar"/>
        </w:rPr>
        <w:t xml:space="preserve">Referrer-Policy: strict-origin-when-cross-origin</w:t>
      </w:r>
      <w:r>
        <w:br/>
      </w:r>
      <w:r>
        <w:rPr>
          <w:rStyle w:val="VerbatimChar"/>
        </w:rPr>
        <w:t xml:space="preserve">Permissions-Policy: geolocation=(), microphone=(), camera=()</w:t>
      </w:r>
    </w:p>
    <w:p>
      <w:pPr>
        <w:pStyle w:val="FirstParagraph"/>
      </w:pPr>
      <w:r>
        <w:rPr>
          <w:b/>
          <w:bCs/>
        </w:rPr>
        <w:t xml:space="preserve">Week 4: Component Audit</w:t>
      </w:r>
    </w:p>
    <w:p>
      <w:pPr>
        <w:pStyle w:val="Compact"/>
        <w:numPr>
          <w:ilvl w:val="0"/>
          <w:numId w:val="1045"/>
        </w:numPr>
      </w:pPr>
      <w:r>
        <w:t xml:space="preserve">☐ Verify WordPress, PHP, and all plugin versions</w:t>
      </w:r>
    </w:p>
    <w:p>
      <w:pPr>
        <w:pStyle w:val="Compact"/>
        <w:numPr>
          <w:ilvl w:val="0"/>
          <w:numId w:val="1045"/>
        </w:numPr>
      </w:pPr>
      <w:r>
        <w:t xml:space="preserve">☐ Update outdated components</w:t>
      </w:r>
    </w:p>
    <w:p>
      <w:pPr>
        <w:pStyle w:val="Compact"/>
        <w:numPr>
          <w:ilvl w:val="0"/>
          <w:numId w:val="1045"/>
        </w:numPr>
      </w:pPr>
      <w:r>
        <w:t xml:space="preserve">☐ Remove unused plugins and themes</w:t>
      </w:r>
    </w:p>
    <w:p>
      <w:pPr>
        <w:pStyle w:val="Compact"/>
        <w:numPr>
          <w:ilvl w:val="0"/>
          <w:numId w:val="1045"/>
        </w:numPr>
      </w:pPr>
      <w:r>
        <w:t xml:space="preserve">☐ Configure automatic security updates</w:t>
      </w:r>
    </w:p>
    <w:bookmarkEnd w:id="59"/>
    <w:bookmarkStart w:id="60" w:name="Xf572709c470ea6598c38595f1da93f6514a7b15"/>
    <w:p>
      <w:pPr>
        <w:pStyle w:val="Heading2"/>
      </w:pPr>
      <w:r>
        <w:t xml:space="preserve">Phase 3: Long-term Improvements (31-90 days)</w:t>
      </w:r>
    </w:p>
    <w:p>
      <w:pPr>
        <w:pStyle w:val="FirstParagraph"/>
      </w:pPr>
      <w:r>
        <w:rPr>
          <w:b/>
          <w:bCs/>
        </w:rPr>
        <w:t xml:space="preserve">Month 2: Monitoring and Logging</w:t>
      </w:r>
    </w:p>
    <w:p>
      <w:pPr>
        <w:pStyle w:val="Compact"/>
        <w:numPr>
          <w:ilvl w:val="0"/>
          <w:numId w:val="1046"/>
        </w:numPr>
      </w:pPr>
      <w:r>
        <w:t xml:space="preserve">☐ Implement security monitoring system (SIEM)</w:t>
      </w:r>
    </w:p>
    <w:p>
      <w:pPr>
        <w:pStyle w:val="Compact"/>
        <w:numPr>
          <w:ilvl w:val="0"/>
          <w:numId w:val="1046"/>
        </w:numPr>
      </w:pPr>
      <w:r>
        <w:t xml:space="preserve">☐ Configure centralized logging</w:t>
      </w:r>
    </w:p>
    <w:p>
      <w:pPr>
        <w:pStyle w:val="Compact"/>
        <w:numPr>
          <w:ilvl w:val="0"/>
          <w:numId w:val="1046"/>
        </w:numPr>
      </w:pPr>
      <w:r>
        <w:t xml:space="preserve">☐ Create security dashboards</w:t>
      </w:r>
    </w:p>
    <w:p>
      <w:pPr>
        <w:pStyle w:val="Compact"/>
        <w:numPr>
          <w:ilvl w:val="0"/>
          <w:numId w:val="1046"/>
        </w:numPr>
      </w:pPr>
      <w:r>
        <w:t xml:space="preserve">☐ Set up suspicious activity alerts</w:t>
      </w:r>
    </w:p>
    <w:p>
      <w:pPr>
        <w:pStyle w:val="FirstParagraph"/>
      </w:pPr>
      <w:r>
        <w:rPr>
          <w:b/>
          <w:bCs/>
        </w:rPr>
        <w:t xml:space="preserve">Month 3: Procedures and Policies</w:t>
      </w:r>
    </w:p>
    <w:p>
      <w:pPr>
        <w:pStyle w:val="Compact"/>
        <w:numPr>
          <w:ilvl w:val="0"/>
          <w:numId w:val="1047"/>
        </w:numPr>
      </w:pPr>
      <w:r>
        <w:t xml:space="preserve">☐ Develop information security policy</w:t>
      </w:r>
    </w:p>
    <w:p>
      <w:pPr>
        <w:pStyle w:val="Compact"/>
        <w:numPr>
          <w:ilvl w:val="0"/>
          <w:numId w:val="1047"/>
        </w:numPr>
      </w:pPr>
      <w:r>
        <w:t xml:space="preserve">☐ Create incident response procedures</w:t>
      </w:r>
    </w:p>
    <w:p>
      <w:pPr>
        <w:pStyle w:val="Compact"/>
        <w:numPr>
          <w:ilvl w:val="0"/>
          <w:numId w:val="1047"/>
        </w:numPr>
      </w:pPr>
      <w:r>
        <w:t xml:space="preserve">☐ Develop post-incident recovery plan</w:t>
      </w:r>
    </w:p>
    <w:p>
      <w:pPr>
        <w:pStyle w:val="Compact"/>
        <w:numPr>
          <w:ilvl w:val="0"/>
          <w:numId w:val="1047"/>
        </w:numPr>
      </w:pPr>
      <w:r>
        <w:t xml:space="preserve">☐ Train staff on cybersecurity fundamentals</w:t>
      </w:r>
    </w:p>
    <w:p>
      <w:pPr>
        <w:pStyle w:val="Compact"/>
        <w:numPr>
          <w:ilvl w:val="0"/>
          <w:numId w:val="1047"/>
        </w:numPr>
      </w:pPr>
      <w:r>
        <w:t xml:space="preserve">☐ Regular penetration testing</w:t>
      </w:r>
    </w:p>
    <w:bookmarkEnd w:id="60"/>
    <w:bookmarkEnd w:id="61"/>
    <w:bookmarkStart w:id="66" w:name="conclusion"/>
    <w:p>
      <w:pPr>
        <w:pStyle w:val="Heading1"/>
      </w:pPr>
      <w:r>
        <w:t xml:space="preserve">Conclusion</w:t>
      </w:r>
    </w:p>
    <w:p>
      <w:pPr>
        <w:pStyle w:val="FirstParagraph"/>
      </w:pPr>
      <w:r>
        <w:t xml:space="preserve">The security analysis of website</w:t>
      </w:r>
      <w:r>
        <w:t xml:space="preserve"> </w:t>
      </w:r>
      <w:hyperlink r:id="rId10">
        <w:r>
          <w:rPr>
            <w:rStyle w:val="Hyperlink"/>
          </w:rPr>
          <w:t xml:space="preserve">https://example.com</w:t>
        </w:r>
      </w:hyperlink>
      <w:r>
        <w:t xml:space="preserve"> </w:t>
      </w:r>
      <w:r>
        <w:t xml:space="preserve">revealed</w:t>
      </w:r>
      <w:r>
        <w:t xml:space="preserve"> </w:t>
      </w:r>
      <w:r>
        <w:rPr>
          <w:b/>
          <w:bCs/>
        </w:rPr>
        <w:t xml:space="preserve">critical deficiencies</w:t>
      </w:r>
      <w:r>
        <w:t xml:space="preserve"> </w:t>
      </w:r>
      <w:r>
        <w:t xml:space="preserve">in information protection. The site</w:t>
      </w:r>
      <w:r>
        <w:t xml:space="preserve"> </w:t>
      </w:r>
      <w:r>
        <w:rPr>
          <w:b/>
          <w:bCs/>
        </w:rPr>
        <w:t xml:space="preserve">does not comply</w:t>
      </w:r>
      <w:r>
        <w:t xml:space="preserve"> </w:t>
      </w:r>
      <w:r>
        <w:t xml:space="preserve">with fundamental requirements of international security standards OWASP Top 10 2021, NIST CSF 2.0, and Microsoft Security Baseline.</w:t>
      </w:r>
    </w:p>
    <w:bookmarkStart w:id="62" w:name="critical-risk-assessment"/>
    <w:p>
      <w:pPr>
        <w:pStyle w:val="Heading2"/>
      </w:pPr>
      <w:r>
        <w:t xml:space="preserve">Critical Risk Assessment:</w:t>
      </w:r>
    </w:p>
    <w:p>
      <w:pPr>
        <w:pStyle w:val="Compact"/>
        <w:numPr>
          <w:ilvl w:val="0"/>
          <w:numId w:val="1048"/>
        </w:numPr>
      </w:pPr>
      <w:r>
        <w:rPr>
          <w:b/>
          <w:bCs/>
        </w:rPr>
        <w:t xml:space="preserve">Current Risk Level</w:t>
      </w:r>
      <w:r>
        <w:t xml:space="preserve">: 🔴</w:t>
      </w:r>
      <w:r>
        <w:t xml:space="preserve"> </w:t>
      </w:r>
      <w:r>
        <w:rPr>
          <w:b/>
          <w:bCs/>
        </w:rPr>
        <w:t xml:space="preserve">CRITICAL</w:t>
      </w:r>
    </w:p>
    <w:p>
      <w:pPr>
        <w:pStyle w:val="Compact"/>
        <w:numPr>
          <w:ilvl w:val="0"/>
          <w:numId w:val="1048"/>
        </w:numPr>
      </w:pPr>
      <w:r>
        <w:rPr>
          <w:b/>
          <w:bCs/>
        </w:rPr>
        <w:t xml:space="preserve">Primary Threat</w:t>
      </w:r>
      <w:r>
        <w:t xml:space="preserve">: Personal user data disclosure</w:t>
      </w:r>
    </w:p>
    <w:p>
      <w:pPr>
        <w:pStyle w:val="Compact"/>
        <w:numPr>
          <w:ilvl w:val="0"/>
          <w:numId w:val="1048"/>
        </w:numPr>
      </w:pPr>
      <w:r>
        <w:rPr>
          <w:b/>
          <w:bCs/>
        </w:rPr>
        <w:t xml:space="preserve">Regulatory Risks</w:t>
      </w:r>
      <w:r>
        <w:t xml:space="preserve">: High GDPR fines (up to 4% of annual revenue)</w:t>
      </w:r>
    </w:p>
    <w:p>
      <w:pPr>
        <w:pStyle w:val="Compact"/>
        <w:numPr>
          <w:ilvl w:val="0"/>
          <w:numId w:val="1048"/>
        </w:numPr>
      </w:pPr>
      <w:r>
        <w:rPr>
          <w:b/>
          <w:bCs/>
        </w:rPr>
        <w:t xml:space="preserve">Reputational Risks</w:t>
      </w:r>
      <w:r>
        <w:t xml:space="preserve">: Severe customer trust loss</w:t>
      </w:r>
    </w:p>
    <w:p>
      <w:pPr>
        <w:pStyle w:val="Compact"/>
        <w:numPr>
          <w:ilvl w:val="0"/>
          <w:numId w:val="1048"/>
        </w:numPr>
      </w:pPr>
      <w:r>
        <w:rPr>
          <w:b/>
          <w:bCs/>
        </w:rPr>
        <w:t xml:space="preserve">Operational Risks</w:t>
      </w:r>
      <w:r>
        <w:t xml:space="preserve">: Potential business suspension</w:t>
      </w:r>
    </w:p>
    <w:bookmarkEnd w:id="62"/>
    <w:bookmarkStart w:id="63" w:name="standards-compliance"/>
    <w:p>
      <w:pPr>
        <w:pStyle w:val="Heading2"/>
      </w:pPr>
      <w:r>
        <w:t xml:space="preserve">Standards Compliance:</w:t>
      </w:r>
    </w:p>
    <w:tbl>
      <w:tblPr>
        <w:tblStyle w:val="Table"/>
        <w:tblW w:w="0" w:type="auto"/>
        <w:tblLook w:val="0020" w:firstRow="1" w:lastRow="0" w:firstColumn="0" w:lastColumn="0" w:noHBand="0" w:noVBand="0"/>
      </w:tblPr>
      <w:tblGrid>
        <w:gridCol w:w="2640"/>
        <w:gridCol w:w="2640"/>
        <w:gridCol w:w="2640"/>
      </w:tblGrid>
      <w:tr>
        <w:trPr>
          <w:tblHeader/>
        </w:trPr>
        <w:tc>
          <w:tcPr/>
          <w:p>
            <w:pPr>
              <w:pStyle w:val="Compact"/>
              <w:jc w:val="left"/>
            </w:pPr>
            <w:r>
              <w:t xml:space="preserve">Standard</w:t>
            </w:r>
          </w:p>
        </w:tc>
        <w:tc>
          <w:tcPr/>
          <w:p>
            <w:pPr>
              <w:pStyle w:val="Compact"/>
              <w:jc w:val="left"/>
            </w:pPr>
            <w:r>
              <w:t xml:space="preserve">Compliance Level</w:t>
            </w:r>
          </w:p>
        </w:tc>
        <w:tc>
          <w:tcPr/>
          <w:p>
            <w:pPr>
              <w:pStyle w:val="Compact"/>
              <w:jc w:val="left"/>
            </w:pPr>
            <w:r>
              <w:t xml:space="preserve">Critical Issues</w:t>
            </w:r>
          </w:p>
        </w:tc>
      </w:tr>
      <w:tr>
        <w:tc>
          <w:tcPr/>
          <w:p>
            <w:pPr>
              <w:pStyle w:val="Compact"/>
              <w:jc w:val="left"/>
            </w:pPr>
            <w:r>
              <w:rPr>
                <w:b/>
                <w:bCs/>
              </w:rPr>
              <w:t xml:space="preserve">OWASP Top 10 2021</w:t>
            </w:r>
          </w:p>
        </w:tc>
        <w:tc>
          <w:tcPr/>
          <w:p>
            <w:pPr>
              <w:pStyle w:val="Compact"/>
              <w:jc w:val="left"/>
            </w:pPr>
            <w:r>
              <w:t xml:space="preserve">20%</w:t>
            </w:r>
          </w:p>
        </w:tc>
        <w:tc>
          <w:tcPr/>
          <w:p>
            <w:pPr>
              <w:pStyle w:val="Compact"/>
              <w:jc w:val="left"/>
            </w:pPr>
            <w:r>
              <w:t xml:space="preserve">A01, A05, A08, A09</w:t>
            </w:r>
          </w:p>
        </w:tc>
      </w:tr>
      <w:tr>
        <w:tc>
          <w:tcPr/>
          <w:p>
            <w:pPr>
              <w:pStyle w:val="Compact"/>
              <w:jc w:val="left"/>
            </w:pPr>
            <w:r>
              <w:rPr>
                <w:b/>
                <w:bCs/>
              </w:rPr>
              <w:t xml:space="preserve">NIST CSF 2.0</w:t>
            </w:r>
          </w:p>
        </w:tc>
        <w:tc>
          <w:tcPr/>
          <w:p>
            <w:pPr>
              <w:pStyle w:val="Compact"/>
              <w:jc w:val="left"/>
            </w:pPr>
            <w:r>
              <w:t xml:space="preserve">19%</w:t>
            </w:r>
          </w:p>
        </w:tc>
        <w:tc>
          <w:tcPr/>
          <w:p>
            <w:pPr>
              <w:pStyle w:val="Compact"/>
              <w:jc w:val="left"/>
            </w:pPr>
            <w:r>
              <w:t xml:space="preserve">All functions except partial identification</w:t>
            </w:r>
          </w:p>
        </w:tc>
      </w:tr>
      <w:tr>
        <w:tc>
          <w:tcPr/>
          <w:p>
            <w:pPr>
              <w:pStyle w:val="Compact"/>
              <w:jc w:val="left"/>
            </w:pPr>
            <w:r>
              <w:rPr>
                <w:b/>
                <w:bCs/>
              </w:rPr>
              <w:t xml:space="preserve">Microsoft Security Baseline</w:t>
            </w:r>
          </w:p>
        </w:tc>
        <w:tc>
          <w:tcPr/>
          <w:p>
            <w:pPr>
              <w:pStyle w:val="Compact"/>
              <w:jc w:val="left"/>
            </w:pPr>
            <w:r>
              <w:t xml:space="preserve">15%</w:t>
            </w:r>
          </w:p>
        </w:tc>
        <w:tc>
          <w:tcPr/>
          <w:p>
            <w:pPr>
              <w:pStyle w:val="Compact"/>
              <w:jc w:val="left"/>
            </w:pPr>
            <w:r>
              <w:t xml:space="preserve">Transport, content, data</w:t>
            </w:r>
          </w:p>
        </w:tc>
      </w:tr>
    </w:tbl>
    <w:bookmarkEnd w:id="63"/>
    <w:bookmarkStart w:id="64" w:name="key-recommendations"/>
    <w:p>
      <w:pPr>
        <w:pStyle w:val="Heading2"/>
      </w:pPr>
      <w:r>
        <w:t xml:space="preserve">Key Recommendations:</w:t>
      </w:r>
    </w:p>
    <w:p>
      <w:pPr>
        <w:pStyle w:val="Compact"/>
        <w:numPr>
          <w:ilvl w:val="0"/>
          <w:numId w:val="1049"/>
        </w:numPr>
      </w:pPr>
      <w:r>
        <w:rPr>
          <w:b/>
          <w:bCs/>
        </w:rPr>
        <w:t xml:space="preserve">Immediate remediation</w:t>
      </w:r>
      <w:r>
        <w:t xml:space="preserve"> </w:t>
      </w:r>
      <w:r>
        <w:t xml:space="preserve">of personal data disclosure (0-3 days)</w:t>
      </w:r>
    </w:p>
    <w:p>
      <w:pPr>
        <w:pStyle w:val="Compact"/>
        <w:numPr>
          <w:ilvl w:val="0"/>
          <w:numId w:val="1049"/>
        </w:numPr>
      </w:pPr>
      <w:r>
        <w:rPr>
          <w:b/>
          <w:bCs/>
        </w:rPr>
        <w:t xml:space="preserve">Implementation of basic protection mechanisms</w:t>
      </w:r>
      <w:r>
        <w:t xml:space="preserve"> </w:t>
      </w:r>
      <w:r>
        <w:t xml:space="preserve">for web application (4-7 days)</w:t>
      </w:r>
    </w:p>
    <w:p>
      <w:pPr>
        <w:pStyle w:val="Compact"/>
        <w:numPr>
          <w:ilvl w:val="0"/>
          <w:numId w:val="1049"/>
        </w:numPr>
      </w:pPr>
      <w:r>
        <w:rPr>
          <w:b/>
          <w:bCs/>
        </w:rPr>
        <w:t xml:space="preserve">Regular updates</w:t>
      </w:r>
      <w:r>
        <w:t xml:space="preserve"> </w:t>
      </w:r>
      <w:r>
        <w:t xml:space="preserve">of all system components</w:t>
      </w:r>
    </w:p>
    <w:p>
      <w:pPr>
        <w:pStyle w:val="Compact"/>
        <w:numPr>
          <w:ilvl w:val="0"/>
          <w:numId w:val="1049"/>
        </w:numPr>
      </w:pPr>
      <w:r>
        <w:rPr>
          <w:b/>
          <w:bCs/>
        </w:rPr>
        <w:t xml:space="preserve">Establishment of procedures</w:t>
      </w:r>
      <w:r>
        <w:t xml:space="preserve"> </w:t>
      </w:r>
      <w:r>
        <w:t xml:space="preserve">for monitoring and incident response</w:t>
      </w:r>
    </w:p>
    <w:p>
      <w:pPr>
        <w:pStyle w:val="Compact"/>
        <w:numPr>
          <w:ilvl w:val="0"/>
          <w:numId w:val="1049"/>
        </w:numPr>
      </w:pPr>
      <w:r>
        <w:rPr>
          <w:b/>
          <w:bCs/>
        </w:rPr>
        <w:t xml:space="preserve">Staff training</w:t>
      </w:r>
      <w:r>
        <w:t xml:space="preserve"> </w:t>
      </w:r>
      <w:r>
        <w:t xml:space="preserve">on information security fundamentals</w:t>
      </w:r>
    </w:p>
    <w:bookmarkEnd w:id="64"/>
    <w:bookmarkStart w:id="65" w:name="improvement-forecast"/>
    <w:p>
      <w:pPr>
        <w:pStyle w:val="Heading2"/>
      </w:pPr>
      <w:r>
        <w:t xml:space="preserve">Improvement Forecast:</w:t>
      </w:r>
    </w:p>
    <w:p>
      <w:pPr>
        <w:pStyle w:val="Compact"/>
        <w:numPr>
          <w:ilvl w:val="0"/>
          <w:numId w:val="1050"/>
        </w:numPr>
      </w:pPr>
      <w:r>
        <w:rPr>
          <w:b/>
          <w:bCs/>
        </w:rPr>
        <w:t xml:space="preserve">After Phase 1</w:t>
      </w:r>
      <w:r>
        <w:t xml:space="preserve">: Risk reduction to 🟡</w:t>
      </w:r>
      <w:r>
        <w:t xml:space="preserve"> </w:t>
      </w:r>
      <w:r>
        <w:rPr>
          <w:b/>
          <w:bCs/>
        </w:rPr>
        <w:t xml:space="preserve">MEDIUM</w:t>
      </w:r>
      <w:r>
        <w:t xml:space="preserve"> </w:t>
      </w:r>
      <w:r>
        <w:t xml:space="preserve">(critical vulnerability elimination)</w:t>
      </w:r>
    </w:p>
    <w:p>
      <w:pPr>
        <w:pStyle w:val="Compact"/>
        <w:numPr>
          <w:ilvl w:val="0"/>
          <w:numId w:val="1050"/>
        </w:numPr>
      </w:pPr>
      <w:r>
        <w:rPr>
          <w:b/>
          <w:bCs/>
        </w:rPr>
        <w:t xml:space="preserve">After Phase 2</w:t>
      </w:r>
      <w:r>
        <w:t xml:space="preserve">: Risk reduction to 🔵</w:t>
      </w:r>
      <w:r>
        <w:t xml:space="preserve"> </w:t>
      </w:r>
      <w:r>
        <w:rPr>
          <w:b/>
          <w:bCs/>
        </w:rPr>
        <w:t xml:space="preserve">LOW</w:t>
      </w:r>
      <w:r>
        <w:t xml:space="preserve"> </w:t>
      </w:r>
      <w:r>
        <w:t xml:space="preserve">(basic protection)</w:t>
      </w:r>
    </w:p>
    <w:p>
      <w:pPr>
        <w:pStyle w:val="Compact"/>
        <w:numPr>
          <w:ilvl w:val="0"/>
          <w:numId w:val="1050"/>
        </w:numPr>
      </w:pPr>
      <w:r>
        <w:rPr>
          <w:b/>
          <w:bCs/>
        </w:rPr>
        <w:t xml:space="preserve">After Phase 3</w:t>
      </w:r>
      <w:r>
        <w:t xml:space="preserve">: Achievement of 🟢</w:t>
      </w:r>
      <w:r>
        <w:t xml:space="preserve"> </w:t>
      </w:r>
      <w:r>
        <w:rPr>
          <w:b/>
          <w:bCs/>
        </w:rPr>
        <w:t xml:space="preserve">ACCEPTABLE</w:t>
      </w:r>
      <w:r>
        <w:t xml:space="preserve"> </w:t>
      </w:r>
      <w:r>
        <w:t xml:space="preserve">security level (standards compliance)</w:t>
      </w:r>
    </w:p>
    <w:p>
      <w:pPr>
        <w:pStyle w:val="FirstParagraph"/>
      </w:pPr>
      <w:r>
        <w:rPr>
          <w:b/>
          <w:bCs/>
        </w:rPr>
        <w:t xml:space="preserve">Next Steps:</w:t>
      </w:r>
      <w:r>
        <w:t xml:space="preserve"> </w:t>
      </w:r>
      <w:r>
        <w:t xml:space="preserve">It is recommended to</w:t>
      </w:r>
      <w:r>
        <w:t xml:space="preserve"> </w:t>
      </w:r>
      <w:r>
        <w:rPr>
          <w:b/>
          <w:bCs/>
        </w:rPr>
        <w:t xml:space="preserve">immediately</w:t>
      </w:r>
      <w:r>
        <w:t xml:space="preserve"> </w:t>
      </w:r>
      <w:r>
        <w:t xml:space="preserve">begin implementation of Phase 1 of the vulnerability remediation plan, with special attention to eliminating personal data disclosure and notifying regulators in accordance with GDPR requirements.</w:t>
      </w:r>
    </w:p>
    <w:bookmarkEnd w:id="65"/>
    <w:bookmarkEnd w:id="66"/>
    <w:bookmarkStart w:id="73" w:name="references"/>
    <w:p>
      <w:pPr>
        <w:pStyle w:val="Heading1"/>
      </w:pPr>
      <w:r>
        <w:t xml:space="preserve">References</w:t>
      </w:r>
    </w:p>
    <w:p>
      <w:pPr>
        <w:pStyle w:val="FirstParagraph"/>
      </w:pPr>
      <w:bookmarkStart w:id="67" w:name="ref-1"/>
      <w:bookmarkEnd w:id="67"/>
      <w:r>
        <w:t xml:space="preserve">[1] OWASP Foundation. (2024).</w:t>
      </w:r>
      <w:r>
        <w:t xml:space="preserve"> </w:t>
      </w:r>
      <w:r>
        <w:rPr>
          <w:i/>
          <w:iCs/>
        </w:rPr>
        <w:t xml:space="preserve">OWASP Zed Attack Proxy (ZAP)</w:t>
      </w:r>
      <w:r>
        <w:t xml:space="preserve">.</w:t>
      </w:r>
      <w:r>
        <w:t xml:space="preserve"> </w:t>
      </w:r>
      <w:hyperlink r:id="rId11">
        <w:r>
          <w:rPr>
            <w:rStyle w:val="Hyperlink"/>
          </w:rPr>
          <w:t xml:space="preserve">https://zaproxy.org</w:t>
        </w:r>
      </w:hyperlink>
    </w:p>
    <w:p>
      <w:pPr>
        <w:pStyle w:val="BodyText"/>
      </w:pPr>
      <w:bookmarkStart w:id="69" w:name="ref-2"/>
      <w:bookmarkEnd w:id="69"/>
      <w:r>
        <w:t xml:space="preserve">[2] OWASP Foundation. (2021).</w:t>
      </w:r>
      <w:r>
        <w:t xml:space="preserve"> </w:t>
      </w:r>
      <w:r>
        <w:rPr>
          <w:i/>
          <w:iCs/>
        </w:rPr>
        <w:t xml:space="preserve">OWASP Top 10:2021</w:t>
      </w:r>
      <w:r>
        <w:t xml:space="preserve">.</w:t>
      </w:r>
      <w:r>
        <w:t xml:space="preserve"> </w:t>
      </w:r>
      <w:hyperlink r:id="rId12">
        <w:r>
          <w:rPr>
            <w:rStyle w:val="Hyperlink"/>
          </w:rPr>
          <w:t xml:space="preserve">https://owasp.org/Top10/2021/</w:t>
        </w:r>
      </w:hyperlink>
    </w:p>
    <w:p>
      <w:pPr>
        <w:pStyle w:val="BodyText"/>
      </w:pPr>
      <w:bookmarkStart w:id="71" w:name="ref-3"/>
      <w:bookmarkEnd w:id="71"/>
      <w:r>
        <w:t xml:space="preserve">[3] NIST. (2024).</w:t>
      </w:r>
      <w:r>
        <w:t xml:space="preserve"> </w:t>
      </w:r>
      <w:r>
        <w:rPr>
          <w:i/>
          <w:iCs/>
        </w:rPr>
        <w:t xml:space="preserve">The NIST Cybersecurity Framework (CSF) 2.0</w:t>
      </w:r>
      <w:r>
        <w:t xml:space="preserve">.</w:t>
      </w:r>
      <w:r>
        <w:t xml:space="preserve"> </w:t>
      </w:r>
      <w:hyperlink r:id="rId13">
        <w:r>
          <w:rPr>
            <w:rStyle w:val="Hyperlink"/>
          </w:rPr>
          <w:t xml:space="preserve">https://www.nist.gov/publications/nist-cybersecurity-framework-csf-20</w:t>
        </w:r>
      </w:hyperlink>
    </w:p>
    <w:bookmarkEnd w:id="73"/>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1">
    <w:multiLevelType w:val="multilevel"/>
    <w:nsid w:val="0000A991"/>
    <w:lvl w:ilvl="0">
      <w:lvlJc w:val="left"/>
      <w:lvlText w:val="•"/>
      <w:numFmt w:val="bullet"/>
      <w:pPr>
        <w:ind w:hanging="480" w:left="720"/>
      </w:pPr>
    </w:lvl>
    <w:lvl w:ilvl="1">
      <w:lvlJc w:val="left"/>
      <w:lvlText w:val="–"/>
      <w:numFmt w:val="bullet"/>
      <w:pPr>
        <w:ind w:hanging="480" w:left="1440"/>
      </w:pPr>
    </w:lvl>
    <w:lvl w:ilvl="2">
      <w:lvlJc w:val="left"/>
      <w:lvlText w:val="•"/>
      <w:numFmt w:val="bullet"/>
      <w:pPr>
        <w:ind w:hanging="480" w:left="2160"/>
      </w:pPr>
    </w:lvl>
    <w:lvl w:ilvl="3">
      <w:lvlJc w:val="left"/>
      <w:lvlText w:val="–"/>
      <w:numFmt w:val="bullet"/>
      <w:pPr>
        <w:ind w:hanging="480" w:left="2880"/>
      </w:pPr>
    </w:lvl>
    <w:lvl w:ilvl="4">
      <w:lvlJc w:val="left"/>
      <w:lvlText w:val="•"/>
      <w:numFmt w:val="bullet"/>
      <w:pPr>
        <w:ind w:hanging="480" w:left="3600"/>
      </w:pPr>
    </w:lvl>
    <w:lvl w:ilvl="5">
      <w:lvlJc w:val="left"/>
      <w:lvlText w:val="–"/>
      <w:numFmt w:val="bullet"/>
      <w:pPr>
        <w:ind w:hanging="480" w:left="4320"/>
      </w:pPr>
    </w:lvl>
    <w:lvl w:ilvl="6">
      <w:lvlJc w:val="left"/>
      <w:lvlText w:val="•"/>
      <w:numFmt w:val="bullet"/>
      <w:pPr>
        <w:ind w:hanging="480" w:left="5040"/>
      </w:pPr>
    </w:lvl>
    <w:lvl w:ilvl="7">
      <w:lvlJc w:val="left"/>
      <w:lvlText w:val="–"/>
      <w:numFmt w:val="bullet"/>
      <w:pPr>
        <w:ind w:hanging="480" w:left="5760"/>
      </w:pPr>
    </w:lvl>
    <w:lvl w:ilvl="8">
      <w:lvlJc w:val="left"/>
      <w:lvlText w:val="•"/>
      <w:numFmt w:val="bullet"/>
      <w:pPr>
        <w:ind w:hanging="480" w:left="6480"/>
      </w:pPr>
    </w:lvl>
  </w:abstractNum>
  <w:abstractNum w:abstractNumId="99411">
    <w:multiLevelType w:val="multilevel"/>
    <w:nsid w:val="00A99411"/>
    <w:lvl w:ilvl="0">
      <w:lvlJc w:val="left"/>
      <w:lvlText w:val="%1."/>
      <w:numFmt w:val="decimal"/>
      <w:pPr>
        <w:ind w:hanging="480" w:left="720"/>
      </w:pPr>
      <w:start w:val="1"/>
    </w:lvl>
    <w:lvl w:ilvl="1">
      <w:lvlJc w:val="left"/>
      <w:lvlText w:val="%2."/>
      <w:numFmt w:val="decimal"/>
      <w:pPr>
        <w:ind w:hanging="480" w:left="1440"/>
      </w:pPr>
      <w:start w:val="1"/>
    </w:lvl>
    <w:lvl w:ilvl="2">
      <w:lvlJc w:val="left"/>
      <w:lvlText w:val="%3."/>
      <w:numFmt w:val="decimal"/>
      <w:pPr>
        <w:ind w:hanging="480" w:left="2160"/>
      </w:pPr>
      <w:start w:val="1"/>
    </w:lvl>
    <w:lvl w:ilvl="3">
      <w:lvlJc w:val="left"/>
      <w:lvlText w:val="%4."/>
      <w:numFmt w:val="decimal"/>
      <w:pPr>
        <w:ind w:hanging="480" w:left="2880"/>
      </w:pPr>
      <w:start w:val="1"/>
    </w:lvl>
    <w:lvl w:ilvl="4">
      <w:lvlJc w:val="left"/>
      <w:lvlText w:val="%5."/>
      <w:numFmt w:val="decimal"/>
      <w:pPr>
        <w:ind w:hanging="480" w:left="3600"/>
      </w:pPr>
      <w:start w:val="1"/>
    </w:lvl>
    <w:lvl w:ilvl="5">
      <w:lvlJc w:val="left"/>
      <w:lvlText w:val="%6."/>
      <w:numFmt w:val="decimal"/>
      <w:pPr>
        <w:ind w:hanging="480" w:left="4320"/>
      </w:pPr>
      <w:start w:val="1"/>
    </w:lvl>
    <w:lvl w:ilvl="6">
      <w:lvlJc w:val="left"/>
      <w:lvlText w:val="%7."/>
      <w:numFmt w:val="decimal"/>
      <w:pPr>
        <w:ind w:hanging="480" w:left="5040"/>
      </w:pPr>
      <w:start w:val="1"/>
    </w:lvl>
    <w:lvl w:ilvl="7">
      <w:lvlJc w:val="left"/>
      <w:lvlText w:val="%8."/>
      <w:numFmt w:val="decimal"/>
      <w:pPr>
        <w:ind w:hanging="480" w:left="5760"/>
      </w:pPr>
      <w:start w:val="1"/>
    </w:lvl>
    <w:lvl w:ilvl="8">
      <w:lvlJc w:val="left"/>
      <w:lvlText w:val="%9."/>
      <w:numFmt w:val="decimal"/>
      <w:pPr>
        <w:ind w:hanging="480" w:left="6480"/>
      </w:pPr>
      <w:start w:val="1"/>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footnote w:id="-1"/>
    <w:footnote w:id="0"/>
  </w:footnote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BodyText">
    <w:name w:val="Body Text"/>
    <w:basedOn w:val="Normal"/>
    <w:link w:val="BodyTextChar"/>
    <w:qFormat/>
    <w:pPr>
      <w:spacing w:after="180" w:before="180"/>
    </w:pPr>
  </w:style>
  <w:style w:type="paragraph" w:styleId="FirstParagraph" w:customStyle="1">
    <w:name w:val="First Paragraph"/>
    <w:basedOn w:val="BodyText"/>
    <w:next w:val="BodyText"/>
    <w:qFormat/>
  </w:style>
  <w:style w:type="paragraph" w:styleId="Compact" w:customStyle="1">
    <w:name w:val="Compact"/>
    <w:basedOn w:val="BodyText"/>
    <w:qFormat/>
    <w:pPr>
      <w:spacing w:after="36" w:before="36"/>
    </w:pPr>
  </w:style>
  <w:style w:type="paragraph" w:styleId="Title">
    <w:name w:val="Title"/>
    <w:basedOn w:val="Normal"/>
    <w:next w:val="BodyText"/>
    <w:qFormat/>
    <w:pPr>
      <w:keepNext w:val="true"/>
      <w:keepLines w:val="true"/>
      <w:spacing w:after="240" w:before="48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val="true"/>
      <w:spacing w:after="240" w:before="240"/>
      <w:jc w:val="center"/>
    </w:pPr>
    <w:rPr>
      <w:sz w:val="30"/>
      <w:szCs w:val="30"/>
    </w:rPr>
  </w:style>
  <w:style w:type="paragraph" w:styleId="Author" w:customStyle="1">
    <w:name w:val="Author"/>
    <w:next w:val="BodyText"/>
    <w:qFormat/>
    <w:pPr>
      <w:keepNext w:val="true"/>
      <w:keepLines w:val="true"/>
      <w:jc w:val="center"/>
    </w:pPr>
  </w:style>
  <w:style w:type="paragraph" w:styleId="Date">
    <w:name w:val="Date"/>
    <w:next w:val="BodyText"/>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color w:val="345a8a"/>
      <w:sz w:val="20"/>
      <w:szCs w:val="20"/>
    </w:rPr>
  </w:style>
  <w:style w:type="paragraph" w:styleId="Abstract" w:customStyle="1">
    <w:name w:val="Abstract"/>
    <w:basedOn w:val="Normal"/>
    <w:next w:val="BodyText"/>
    <w:qFormat/>
    <w:pPr>
      <w:keepNext w:val="true"/>
      <w:keepLines w:val="true"/>
      <w:spacing w:after="300" w:before="100"/>
    </w:pPr>
    <w:rPr>
      <w:sz w:val="20"/>
      <w:szCs w:val="20"/>
    </w:rPr>
  </w:style>
  <w:style w:type="paragraph" w:styleId="Bibliography">
    <w:name w:val="Bibliography"/>
    <w:basedOn w:val="Normal"/>
    <w:next w:val="Bibliography"/>
    <w:qFormat/>
    <w:pPr/>
  </w:style>
  <w:style w:type="paragraph" w:styleId="Heading1">
    <w:name w:val="Heading 1"/>
    <w:basedOn w:val="Normal"/>
    <w:next w:val="BodyText"/>
    <w:uiPriority w:val="9"/>
    <w:qFormat/>
    <w:pPr>
      <w:keepNext w:val="true"/>
      <w:keepLines w:val="true"/>
      <w:spacing w:after="0" w:before="48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val="true"/>
      <w:spacing w:after="0" w:before="20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val="true"/>
      <w:spacing w:after="0" w:before="20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val="true"/>
      <w:spacing w:after="0" w:before="20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val="true"/>
      <w:spacing w:after="0" w:before="20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val="true"/>
      <w:spacing w:after="0" w:before="20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val="true"/>
      <w:spacing w:after="0" w:before="20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after="100" w:before="100"/>
      <w:ind w:right="480" w:firstLine="0" w:left="480"/>
    </w:pPr>
  </w:style>
  <w:style w:type="paragraph" w:styleId="FootnoteText">
    <w:name w:val="Footnote Text"/>
    <w:basedOn w:val="Normal"/>
    <w:next w:val="FootnoteText"/>
    <w:uiPriority w:val="9"/>
    <w:unhideWhenUsed/>
    <w:qFormat/>
  </w:style>
  <w:style w:type="paragraph" w:styleId="FootnoteBlockText">
    <w:name w:val="Footnote Block Text"/>
    <w:basedOn w:val="Footnote Text"/>
    <w:next w:val="Footnote Text"/>
    <w:uiPriority w:val="9"/>
    <w:unhideWhenUsed/>
    <w:qFormat/>
    <w:pPr>
      <w:spacing w:after="100" w:before="100"/>
      <w:ind w:right="480" w:firstLine="0" w:left="48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left w:w="108" w:type="dxa"/>
        <w:top w:w="0" w:type="dxa"/>
        <w:right w:w="108" w:type="dxa"/>
        <w:bottom w:w="0" w:type="dxa"/>
      </w:tblCellMar>
    </w:tblPr>
    <w:tblStylePr w:type="firstRow">
      <w:tblPr>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Caption">
    <w:name w:val="Caption"/>
    <w:basedOn w:val="Normal"/>
    <w:link w:val="BodyTextChar"/>
    <w:pPr>
      <w:spacing w:after="120" w:before="0"/>
    </w:pPr>
    <w:rPr>
      <w:i/>
    </w:rPr>
  </w:style>
  <w:style w:type="paragraph" w:styleId="TableCaption" w:customStyle="1">
    <w:name w:val="Table Caption"/>
    <w:basedOn w:val="Caption"/>
    <w:pPr>
      <w:keepNext w:val="true"/>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true"/>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example.com" TargetMode="External"/><Relationship Id="rId9" Type="http://schemas.openxmlformats.org/officeDocument/2006/relationships/hyperlink" Target="https://example.com" TargetMode="External"/><Relationship Id="rId10" Type="http://schemas.openxmlformats.org/officeDocument/2006/relationships/hyperlink" Target="https://example.com" TargetMode="External"/><Relationship Id="rId11" Type="http://schemas.openxmlformats.org/officeDocument/2006/relationships/hyperlink" Target="https://zaproxy.org" TargetMode="External"/><Relationship Id="rId12" Type="http://schemas.openxmlformats.org/officeDocument/2006/relationships/hyperlink" Target="https://owasp.org/Top10/2021/" TargetMode="External"/><Relationship Id="rId13" Type="http://schemas.openxmlformats.org/officeDocument/2006/relationships/hyperlink" Target="https://www.nist.gov/publications/nist-cybersecurity-framework-csf-20"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CharactersWithSpaces>583</CharactersWithSpaces>
  <Application>ONLYOFFICE/9.2.1.43</Application>
  <DocSecurity>0</DocSecurity>
  <Lines>12</Lines>
  <Paragraphs>8</Paragraphs>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Compliance Report: Analysis of example.com Website</dc:title>
  <dc:creator>Information Security Specialist</dc:creator>
  <cp:keywords/>
  <dcterms:created xsi:type="dcterms:W3CDTF">2026-01-01T12:13:33Z</dcterms:created>
  <dcterms:modified xsi:type="dcterms:W3CDTF">2026-01-01T12:13:33Z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2025-12-31</vt:lpwstr>
  </property>
</Properties>
</file>