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6"/>
        <w:pBdr/>
        <w:spacing/>
        <w:ind/>
        <w:rPr/>
      </w:pPr>
      <w:r>
        <w:rPr>
          <w:lang w:val="ru-RU" w:bidi="ru-RU"/>
        </w:rPr>
      </w: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соответствии</w:t>
      </w:r>
      <w:r>
        <w:t xml:space="preserve"> </w:t>
      </w:r>
      <w:r>
        <w:t xml:space="preserve">стандартам</w:t>
      </w:r>
      <w:r>
        <w:t xml:space="preserve"> </w:t>
      </w:r>
      <w:r>
        <w:t xml:space="preserve">безопасности:</w:t>
      </w:r>
      <w:r>
        <w:t xml:space="preserve"> </w:t>
      </w:r>
      <w:r>
        <w:t xml:space="preserve">Анализ</w:t>
      </w:r>
      <w:r>
        <w:t xml:space="preserve"> </w:t>
      </w:r>
      <w:r>
        <w:t xml:space="preserve">веб-сайта</w:t>
      </w:r>
      <w:r>
        <w:t xml:space="preserve"> </w:t>
      </w:r>
      <w:r>
        <w:t xml:space="preserve">example.com</w:t>
      </w:r>
      <w:r/>
    </w:p>
    <w:p>
      <w:pPr>
        <w:pStyle w:val="748"/>
        <w:pBdr/>
        <w:spacing/>
        <w:ind/>
        <w:rPr/>
      </w:pPr>
      <w:r>
        <w:t xml:space="preserve">Специалист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  <w:r/>
    </w:p>
    <w:p>
      <w:pPr>
        <w:pStyle w:val="749"/>
        <w:pBdr/>
        <w:spacing/>
        <w:ind/>
        <w:rPr/>
      </w:pPr>
      <w:r>
        <w:t xml:space="preserve">2025-12-31</w:t>
      </w:r>
      <w:r/>
    </w:p>
    <w:p>
      <w:pPr>
        <w:pStyle w:val="753"/>
        <w:pBdr/>
        <w:spacing/>
        <w:ind/>
        <w:rPr/>
      </w:pPr>
      <w:r/>
      <w:bookmarkStart w:id="21" w:name="краткое-резюме"/>
      <w:r>
        <w:t xml:space="preserve">Краткое резюме</w:t>
      </w:r>
      <w:r/>
    </w:p>
    <w:p>
      <w:pPr>
        <w:pStyle w:val="744"/>
        <w:pBdr/>
        <w:spacing/>
        <w:ind/>
        <w:rPr/>
      </w:pPr>
      <w:r>
        <w:t xml:space="preserve">Данный отчет представляет комплексный анализ соответствия веб-сайта</w:t>
      </w:r>
      <w:r>
        <w:t xml:space="preserve"> </w:t>
      </w:r>
      <w:hyperlink r:id="rId9" w:tooltip="https://example.com" w:history="1">
        <w:r>
          <w:rPr>
            <w:rStyle w:val="778"/>
          </w:rPr>
          <w:t xml:space="preserve">https://example.com</w:t>
        </w:r>
      </w:hyperlink>
      <w:r>
        <w:t xml:space="preserve"> </w:t>
      </w:r>
      <w:r>
        <w:t xml:space="preserve">международным стандартам безопасности OWASP Top 10 2021,</w:t>
      </w:r>
      <w:r>
        <w:t xml:space="preserve"> NIST Cybersecurity Framework 2.0 и рекомендациям Microsoft Security Baseline. Анализ основан на результатах автоматизированного сканирования безопасности, выполненного 30 декабря 2025 года с помощью OWASP ZAP (Zed Attack Proxy) версии 2.17.0 от Checkmarx.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КРИТИЧЕСКОЕ ПРЕДУПРЕЖДЕНИЕ</w:t>
      </w:r>
      <w:r>
        <w:t xml:space="preserve">: Обнаружена утечка персональных данных (PII) - требуется немедленное вмешательство!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Ключевые выводы:</w:t>
      </w:r>
      <w:r/>
    </w:p>
    <w:p>
      <w:pPr>
        <w:pStyle w:val="745"/>
        <w:numPr>
          <w:ilvl w:val="0"/>
          <w:numId w:val="2"/>
        </w:numPr>
        <w:pBdr/>
        <w:spacing/>
        <w:ind/>
        <w:rPr/>
      </w:pPr>
      <w:r>
        <w:t xml:space="preserve">Обнаружено</w:t>
      </w:r>
      <w:r>
        <w:t xml:space="preserve"> </w:t>
      </w:r>
      <w:r>
        <w:rPr>
          <w:b/>
          <w:bCs/>
        </w:rPr>
        <w:t xml:space="preserve">29 предупреждений безопасности</w:t>
      </w:r>
      <w:r>
        <w:t xml:space="preserve"> </w:t>
      </w:r>
      <w:r>
        <w:t xml:space="preserve">различного уровня критичности</w:t>
      </w:r>
      <w:r/>
    </w:p>
    <w:p>
      <w:pPr>
        <w:pStyle w:val="745"/>
        <w:numPr>
          <w:ilvl w:val="0"/>
          <w:numId w:val="2"/>
        </w:numPr>
        <w:pBdr/>
        <w:spacing/>
        <w:ind/>
        <w:rPr/>
      </w:pPr>
      <w:r>
        <w:t xml:space="preserve">Выявлена</w:t>
      </w:r>
      <w:r>
        <w:t xml:space="preserve"> </w:t>
      </w:r>
      <w:r>
        <w:rPr>
          <w:b/>
          <w:bCs/>
        </w:rPr>
        <w:t xml:space="preserve">критическая уязвимость</w:t>
      </w:r>
      <w:r>
        <w:t xml:space="preserve"> </w:t>
      </w:r>
      <w:r>
        <w:t xml:space="preserve">раскрытия персональных данных (PII)</w:t>
      </w:r>
      <w:r/>
    </w:p>
    <w:p>
      <w:pPr>
        <w:pStyle w:val="745"/>
        <w:numPr>
          <w:ilvl w:val="0"/>
          <w:numId w:val="2"/>
        </w:numPr>
        <w:pBdr/>
        <w:spacing/>
        <w:ind/>
        <w:rPr/>
      </w:pPr>
      <w:r>
        <w:t xml:space="preserve">Отсутствуют</w:t>
      </w:r>
      <w:r>
        <w:t xml:space="preserve"> </w:t>
      </w:r>
      <w:r>
        <w:rPr>
          <w:b/>
          <w:bCs/>
        </w:rPr>
        <w:t xml:space="preserve">базовые механизмы защиты</w:t>
      </w:r>
      <w:r>
        <w:t xml:space="preserve"> </w:t>
      </w:r>
      <w:r>
        <w:t xml:space="preserve">веб-приложения</w:t>
      </w:r>
      <w:r/>
    </w:p>
    <w:p>
      <w:pPr>
        <w:pStyle w:val="745"/>
        <w:numPr>
          <w:ilvl w:val="0"/>
          <w:numId w:val="2"/>
        </w:numPr>
        <w:pBdr/>
        <w:spacing/>
        <w:ind/>
        <w:rPr/>
      </w:pPr>
      <w:r>
        <w:t xml:space="preserve">Сайт</w:t>
      </w:r>
      <w:r>
        <w:t xml:space="preserve"> </w:t>
      </w:r>
      <w:r>
        <w:rPr>
          <w:b/>
          <w:bCs/>
        </w:rPr>
        <w:t xml:space="preserve">не соответствует</w:t>
      </w:r>
      <w:r>
        <w:t xml:space="preserve"> </w:t>
      </w:r>
      <w:r>
        <w:t xml:space="preserve">основным требованиям международных стандартов безопасности</w:t>
      </w:r>
      <w:bookmarkEnd w:id="21"/>
      <w:r/>
    </w:p>
    <w:p>
      <w:pPr>
        <w:pStyle w:val="753"/>
        <w:pBdr/>
        <w:spacing/>
        <w:ind/>
        <w:rPr/>
      </w:pPr>
      <w:r/>
      <w:bookmarkStart w:id="22" w:name="содержание"/>
      <w:r>
        <w:t xml:space="preserve">Содержание</w:t>
      </w:r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методология-анализа" w:anchor="методология-анализа" w:history="1">
        <w:r>
          <w:rPr>
            <w:rStyle w:val="778"/>
          </w:rPr>
          <w:t xml:space="preserve">Методология анализа</w:t>
        </w:r>
      </w:hyperlink>
      <w:r/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детальный-анализ-уязвимостей" w:anchor="детальный-анализ-уязвимостей" w:history="1">
        <w:r>
          <w:rPr>
            <w:rStyle w:val="778"/>
          </w:rPr>
          <w:t xml:space="preserve">Детальный анализ уязвимостей</w:t>
        </w:r>
      </w:hyperlink>
      <w:r/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анализ-соответствия-owasp-top-10-2021" w:anchor="анализ-соответствия-owasp-top-10-2021" w:history="1">
        <w:r>
          <w:rPr>
            <w:rStyle w:val="778"/>
          </w:rPr>
          <w:t xml:space="preserve">Анализ соответствия OWASP Top 10 2021</w:t>
        </w:r>
      </w:hyperlink>
      <w:r/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Xadaeee32a77b9120674e43b1578a2fbaf3c3df2" w:anchor="Xadaeee32a77b9120674e43b1578a2fbaf3c3df2" w:history="1">
        <w:r>
          <w:rPr>
            <w:rStyle w:val="778"/>
          </w:rPr>
          <w:t xml:space="preserve">Соответствие NIST Cybersecurity Framework 2.0</w:t>
        </w:r>
      </w:hyperlink>
      <w:r/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соответствие-microsoft-security-baseline" w:anchor="соответствие-microsoft-security-baseline" w:history="1">
        <w:r>
          <w:rPr>
            <w:rStyle w:val="778"/>
          </w:rPr>
          <w:t xml:space="preserve">Соответствие Microsoft Security Baseline</w:t>
        </w:r>
      </w:hyperlink>
      <w:r/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план-устранения-уязвимостей" w:anchor="план-устранения-уязвимостей" w:history="1">
        <w:r>
          <w:rPr>
            <w:rStyle w:val="778"/>
          </w:rPr>
          <w:t xml:space="preserve">План устранения уязвимостей</w:t>
        </w:r>
      </w:hyperlink>
      <w:r/>
      <w:r/>
    </w:p>
    <w:p>
      <w:pPr>
        <w:pStyle w:val="745"/>
        <w:numPr>
          <w:ilvl w:val="0"/>
          <w:numId w:val="3"/>
        </w:numPr>
        <w:pBdr/>
        <w:spacing/>
        <w:ind/>
        <w:rPr/>
      </w:pPr>
      <w:r/>
      <w:hyperlink w:tooltip="#заключение" w:anchor="заключение" w:history="1">
        <w:r>
          <w:rPr>
            <w:rStyle w:val="778"/>
          </w:rPr>
          <w:t xml:space="preserve">Заключение</w:t>
        </w:r>
      </w:hyperlink>
      <w:r/>
      <w:bookmarkEnd w:id="22"/>
      <w:r/>
    </w:p>
    <w:p>
      <w:pPr>
        <w:pStyle w:val="753"/>
        <w:pBdr/>
        <w:spacing/>
        <w:ind/>
        <w:rPr/>
      </w:pPr>
      <w:r/>
      <w:bookmarkStart w:id="26" w:name="методология-анализа"/>
      <w:r>
        <w:t xml:space="preserve">Методология анализа</w:t>
      </w:r>
      <w:r/>
    </w:p>
    <w:p>
      <w:pPr>
        <w:pStyle w:val="754"/>
        <w:pBdr/>
        <w:spacing/>
        <w:ind/>
        <w:rPr/>
      </w:pPr>
      <w:r/>
      <w:bookmarkStart w:id="23" w:name="параметры-сканирования"/>
      <w:r>
        <w:t xml:space="preserve">Параметры сканирования</w:t>
      </w:r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Инструмент</w:t>
      </w:r>
      <w:r>
        <w:t xml:space="preserve">: OWASP ZAP 2.17.0 от Checkmarx</w:t>
      </w:r>
      <w:r>
        <w:t xml:space="preserve"> </w:t>
      </w:r>
      <w:hyperlink w:tooltip="#ref-1" w:anchor="ref-1" w:history="1">
        <w:r>
          <w:rPr>
            <w:rStyle w:val="778"/>
          </w:rPr>
          <w:t xml:space="preserve">[1]</w:t>
        </w:r>
      </w:hyperlink>
      <w:r/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Дата и время сканирования</w:t>
      </w:r>
      <w:r>
        <w:t xml:space="preserve">: 30 декабря 2025 года, 19:00:53</w:t>
      </w:r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Целевой ресурс</w:t>
      </w:r>
      <w:r>
        <w:t xml:space="preserve">:</w:t>
      </w:r>
      <w:r>
        <w:t xml:space="preserve"> </w:t>
      </w:r>
      <w:hyperlink r:id="rId10" w:tooltip="https://example.com" w:history="1">
        <w:r>
          <w:rPr>
            <w:rStyle w:val="778"/>
          </w:rPr>
          <w:t xml:space="preserve">https://example.com</w:t>
        </w:r>
      </w:hyperlink>
      <w:r/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Общее количество endpoints</w:t>
      </w:r>
      <w:r>
        <w:t xml:space="preserve">: 290</w:t>
      </w:r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Контексты</w:t>
      </w:r>
      <w:r>
        <w:t xml:space="preserve">: Все контексты включены по умолчанию</w:t>
      </w:r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Уровни риска</w:t>
      </w:r>
      <w:r>
        <w:t xml:space="preserve">: Высокий, Средний, Низкий, Информационный</w:t>
      </w:r>
      <w:r/>
    </w:p>
    <w:p>
      <w:pPr>
        <w:pStyle w:val="745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Уровни достоверности</w:t>
      </w:r>
      <w:r>
        <w:t xml:space="preserve">: Пользователь подтвержден, Высокий, Средний, Низкий</w:t>
      </w:r>
      <w:bookmarkEnd w:id="23"/>
      <w:r/>
    </w:p>
    <w:p>
      <w:pPr>
        <w:pStyle w:val="754"/>
        <w:pBdr/>
        <w:spacing/>
        <w:ind/>
        <w:rPr/>
      </w:pPr>
      <w:r/>
      <w:bookmarkStart w:id="24" w:name="статистика-результатов-сканирования"/>
      <w:r>
        <w:t xml:space="preserve">Статистика результатов сканирования</w:t>
      </w:r>
      <w:r/>
    </w:p>
    <w:tbl>
      <w:tblPr>
        <w:tblStyle w:val="766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Уровень риска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Количество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Процент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Достоверность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🔴 Высокий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3.4%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Высокая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🟡 Средний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10.3%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Высокая/Средняя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🔵 Низкий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13.8%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Высокая/Средняя/Низкая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ℹ️ Информационный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21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72.4%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Средняя/Низкая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Всего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29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100%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-</w:t>
            </w:r>
            <w:bookmarkEnd w:id="24"/>
            <w:r/>
          </w:p>
        </w:tc>
      </w:tr>
    </w:tbl>
    <w:p>
      <w:pPr>
        <w:pStyle w:val="754"/>
        <w:pBdr/>
        <w:spacing/>
        <w:ind/>
        <w:rPr/>
      </w:pPr>
      <w:r/>
      <w:bookmarkStart w:id="25" w:name="технологический-стек"/>
      <w:r>
        <w:t xml:space="preserve">Технологический стек</w:t>
      </w:r>
      <w:r/>
    </w:p>
    <w:p>
      <w:pPr>
        <w:pStyle w:val="744"/>
        <w:pBdr/>
        <w:spacing/>
        <w:ind/>
        <w:rPr/>
      </w:pPr>
      <w:r>
        <w:t xml:space="preserve">Обнаруженные технологии на сайте:</w:t>
      </w:r>
      <w:r/>
    </w:p>
    <w:p>
      <w:pPr>
        <w:pStyle w:val="745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CMS</w:t>
      </w:r>
      <w:r>
        <w:t xml:space="preserve">: WordPress с Block Editor</w:t>
      </w:r>
      <w:r/>
    </w:p>
    <w:p>
      <w:pPr>
        <w:pStyle w:val="745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Веб-сервер</w:t>
      </w:r>
      <w:r>
        <w:t xml:space="preserve">: LiteSpeed с LiteSpeed Cache</w:t>
      </w:r>
      <w:r/>
    </w:p>
    <w:p>
      <w:pPr>
        <w:pStyle w:val="745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CDN</w:t>
      </w:r>
      <w:r>
        <w:t xml:space="preserve">: Cloudflare с Browser Insights</w:t>
      </w:r>
      <w:r/>
    </w:p>
    <w:p>
      <w:pPr>
        <w:pStyle w:val="745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Язык программирования</w:t>
      </w:r>
      <w:r>
        <w:t xml:space="preserve">: PHP</w:t>
      </w:r>
      <w:r/>
    </w:p>
    <w:p>
      <w:pPr>
        <w:pStyle w:val="745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Дополнительные компоненты</w:t>
      </w:r>
      <w:r>
        <w:t xml:space="preserve">:</w:t>
      </w:r>
      <w:r/>
    </w:p>
    <w:p>
      <w:pPr>
        <w:pStyle w:val="745"/>
        <w:numPr>
          <w:ilvl w:val="1"/>
          <w:numId w:val="6"/>
        </w:numPr>
        <w:pBdr/>
        <w:spacing/>
        <w:ind/>
        <w:rPr/>
      </w:pPr>
      <w:r>
        <w:t xml:space="preserve">Blocksy (тема WordPress)</w:t>
      </w:r>
      <w:r/>
    </w:p>
    <w:p>
      <w:pPr>
        <w:pStyle w:val="745"/>
        <w:numPr>
          <w:ilvl w:val="1"/>
          <w:numId w:val="6"/>
        </w:numPr>
        <w:pBdr/>
        <w:spacing/>
        <w:ind/>
        <w:rPr/>
      </w:pPr>
      <w:r>
        <w:t xml:space="preserve">Stackable (плагин WordPress)</w:t>
      </w:r>
      <w:r/>
    </w:p>
    <w:p>
      <w:pPr>
        <w:pStyle w:val="745"/>
        <w:numPr>
          <w:ilvl w:val="1"/>
          <w:numId w:val="6"/>
        </w:numPr>
        <w:pBdr/>
        <w:spacing/>
        <w:ind/>
        <w:rPr/>
      </w:pPr>
      <w:r>
        <w:t xml:space="preserve">Gravatar (сервис аватаров)</w:t>
      </w:r>
      <w:r/>
    </w:p>
    <w:p>
      <w:pPr>
        <w:pStyle w:val="745"/>
        <w:numPr>
          <w:ilvl w:val="1"/>
          <w:numId w:val="6"/>
        </w:numPr>
        <w:pBdr/>
        <w:spacing/>
        <w:ind/>
        <w:rPr/>
      </w:pPr>
      <w:r>
        <w:t xml:space="preserve">Google Font API</w:t>
      </w:r>
      <w:r/>
    </w:p>
    <w:p>
      <w:pPr>
        <w:pStyle w:val="745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Протоколы</w:t>
      </w:r>
      <w:r>
        <w:t xml:space="preserve">: HTTP/3, HSTS, RSS, Priority Hints</w:t>
      </w:r>
      <w:bookmarkEnd w:id="25"/>
      <w:bookmarkEnd w:id="26"/>
      <w:r/>
    </w:p>
    <w:p>
      <w:pPr>
        <w:pStyle w:val="753"/>
        <w:pBdr/>
        <w:spacing/>
        <w:ind/>
        <w:rPr/>
      </w:pPr>
      <w:r/>
      <w:bookmarkStart w:id="38" w:name="детальный-анализ-уязвимостей"/>
      <w:r>
        <w:t xml:space="preserve">Детальный анализ уязвимостей</w:t>
      </w:r>
      <w:r/>
    </w:p>
    <w:p>
      <w:pPr>
        <w:pStyle w:val="754"/>
        <w:pBdr/>
        <w:spacing/>
        <w:ind/>
        <w:rPr/>
      </w:pPr>
      <w:r/>
      <w:bookmarkStart w:id="28" w:name="Xcaea88bd6fd12e811438f2416cd41fe479de488"/>
      <w:r>
        <w:t xml:space="preserve">🔴 Критические уязвимости (Высокий риск)</w:t>
      </w:r>
      <w:r/>
    </w:p>
    <w:p>
      <w:pPr>
        <w:pStyle w:val="755"/>
        <w:pBdr/>
        <w:spacing/>
        <w:ind/>
        <w:rPr/>
      </w:pPr>
      <w:r/>
      <w:bookmarkStart w:id="27" w:name="X755fa19790a3e28cc654d4c4e63a90b9f4045c7"/>
      <w:r>
        <w:t xml:space="preserve">1. Раскрытие персональных данных (PII)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CWE-359 | WASC-13 | Достоверность: Высокая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КРИТИЧЕСКОЕ НАРУШЕНИЕ</w:t>
      </w:r>
      <w:r>
        <w:t xml:space="preserve">: Обнаружена утечка персональных данных пользователей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Техническое описание:</w:t>
      </w:r>
      <w:r/>
    </w:p>
    <w:p>
      <w:pPr>
        <w:pStyle w:val="745"/>
        <w:numPr>
          <w:ilvl w:val="0"/>
          <w:numId w:val="7"/>
        </w:numPr>
        <w:pBdr/>
        <w:spacing/>
        <w:ind/>
        <w:rPr/>
      </w:pPr>
      <w:r>
        <w:t xml:space="preserve">Персональная информация пользователей доступна без авторизации</w:t>
      </w:r>
      <w:r/>
    </w:p>
    <w:p>
      <w:pPr>
        <w:pStyle w:val="745"/>
        <w:numPr>
          <w:ilvl w:val="0"/>
          <w:numId w:val="7"/>
        </w:numPr>
        <w:pBdr/>
        <w:spacing/>
        <w:ind/>
        <w:rPr/>
      </w:pPr>
      <w:r>
        <w:t xml:space="preserve">Нарушение принципов конфиденциальности данных</w:t>
      </w:r>
      <w:r/>
    </w:p>
    <w:p>
      <w:pPr>
        <w:pStyle w:val="745"/>
        <w:numPr>
          <w:ilvl w:val="0"/>
          <w:numId w:val="7"/>
        </w:numPr>
        <w:pBdr/>
        <w:spacing/>
        <w:ind/>
        <w:rPr/>
      </w:pPr>
      <w:r>
        <w:t xml:space="preserve">Прямое нарушение требований GDPR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Воздействие на бизнес:</w:t>
      </w:r>
      <w:r/>
    </w:p>
    <w:p>
      <w:pPr>
        <w:pStyle w:val="74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Регуляторные риски</w:t>
      </w:r>
      <w:r>
        <w:t xml:space="preserve">: Штрафы по GDPR до 4% от годового оборота компании</w:t>
      </w:r>
      <w:r/>
    </w:p>
    <w:p>
      <w:pPr>
        <w:pStyle w:val="74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Репутационные потери</w:t>
      </w:r>
      <w:r>
        <w:t xml:space="preserve">: Серьезный ущерб доверию клиентов</w:t>
      </w:r>
      <w:r/>
    </w:p>
    <w:p>
      <w:pPr>
        <w:pStyle w:val="74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Юридические последствия</w:t>
      </w:r>
      <w:r>
        <w:t xml:space="preserve">: Возможные судебные иски от пострадавших</w:t>
      </w:r>
      <w:r/>
    </w:p>
    <w:p>
      <w:pPr>
        <w:pStyle w:val="74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Операционные риски</w:t>
      </w:r>
      <w:r>
        <w:t xml:space="preserve">: Необходимость уведомления регуляторов в течение 72 часов</w:t>
      </w:r>
      <w:bookmarkEnd w:id="27"/>
      <w:bookmarkEnd w:id="28"/>
      <w:r/>
    </w:p>
    <w:p>
      <w:pPr>
        <w:pStyle w:val="754"/>
        <w:pBdr/>
        <w:spacing/>
        <w:ind/>
        <w:rPr/>
      </w:pPr>
      <w:r/>
      <w:bookmarkStart w:id="32" w:name="yellow_circle-уязвимости-среднего-риска"/>
      <w:r>
        <w:t xml:space="preserve">🟡 Уязвимости среднего риска</w:t>
      </w:r>
      <w:r/>
    </w:p>
    <w:p>
      <w:pPr>
        <w:pStyle w:val="755"/>
        <w:pBdr/>
        <w:spacing/>
        <w:ind/>
        <w:rPr/>
      </w:pPr>
      <w:r/>
      <w:bookmarkStart w:id="29" w:name="X0a7c33a6f1f09dd6fb733ea2fc17213e212c9d2"/>
      <w:r>
        <w:t xml:space="preserve">2. Отсутствие Subresource Integrity (SRI)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CWE-345 | WASC-15 | Количество: 5 экземпляров | Достоверность: Высокая</w:t>
      </w:r>
      <w:r/>
    </w:p>
    <w:p>
      <w:pPr>
        <w:pStyle w:val="743"/>
        <w:pBdr/>
        <w:spacing/>
        <w:ind/>
        <w:rPr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Внешние ресурсы загружаются без проверки целостности, что создает риск атак на цепочку поставок.</w:t>
      </w:r>
      <w:r/>
    </w:p>
    <w:p>
      <w:pPr>
        <w:pStyle w:val="743"/>
        <w:pBdr/>
        <w:spacing/>
        <w:ind/>
        <w:rPr/>
      </w:pPr>
      <w:r>
        <w:rPr>
          <w:b/>
          <w:bCs/>
        </w:rPr>
        <w:t xml:space="preserve">Затронутые ресурсы:</w:t>
      </w:r>
      <w:r/>
    </w:p>
    <w:p>
      <w:pPr>
        <w:pStyle w:val="745"/>
        <w:numPr>
          <w:ilvl w:val="0"/>
          <w:numId w:val="9"/>
        </w:numPr>
        <w:pBdr/>
        <w:spacing/>
        <w:ind/>
        <w:rPr/>
      </w:pPr>
      <w:r>
        <w:t xml:space="preserve">Google Font API</w:t>
      </w:r>
      <w:r/>
    </w:p>
    <w:p>
      <w:pPr>
        <w:pStyle w:val="745"/>
        <w:numPr>
          <w:ilvl w:val="0"/>
          <w:numId w:val="9"/>
        </w:numPr>
        <w:pBdr/>
        <w:spacing/>
        <w:ind/>
        <w:rPr/>
      </w:pPr>
      <w:r>
        <w:t xml:space="preserve">Cloudflare CDN ресурсы</w:t>
      </w:r>
      <w:r/>
    </w:p>
    <w:p>
      <w:pPr>
        <w:pStyle w:val="745"/>
        <w:numPr>
          <w:ilvl w:val="0"/>
          <w:numId w:val="9"/>
        </w:numPr>
        <w:pBdr/>
        <w:spacing/>
        <w:ind/>
        <w:rPr/>
      </w:pPr>
      <w:r>
        <w:t xml:space="preserve">Внешние JavaScript библиотеки</w:t>
      </w:r>
      <w:bookmarkEnd w:id="29"/>
      <w:r/>
    </w:p>
    <w:p>
      <w:pPr>
        <w:pStyle w:val="755"/>
        <w:pBdr/>
        <w:spacing/>
        <w:ind/>
        <w:rPr/>
      </w:pPr>
      <w:r/>
      <w:bookmarkStart w:id="30" w:name="X70387f96778a9aa2cb6533035ac4c91761df632"/>
      <w:r>
        <w:t xml:space="preserve">3. Отсутствие Content Security Policy (CSP)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CWE-693 | WASC-15 | Количество: 5 экземпляров | Достоверность: Высокая</w:t>
      </w:r>
      <w:r/>
    </w:p>
    <w:p>
      <w:pPr>
        <w:pStyle w:val="743"/>
        <w:pBdr/>
        <w:spacing/>
        <w:ind/>
        <w:rPr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Отсутствует политика безопасности контента, что делает сайт уязвимым для XSS-атак и других инъекций.</w:t>
      </w:r>
      <w:bookmarkEnd w:id="30"/>
      <w:r/>
    </w:p>
    <w:p>
      <w:pPr>
        <w:pStyle w:val="755"/>
        <w:pBdr/>
        <w:spacing/>
        <w:ind/>
        <w:rPr/>
      </w:pPr>
      <w:r/>
      <w:bookmarkStart w:id="31" w:name="X4683e8744e50b92d1a01a40a60b4a70cb9007ff"/>
      <w:r>
        <w:t xml:space="preserve">4. Отсутствие защиты от кликджекинга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CWE-1021 | WASC-15 | Количество: 5 экземпляров | Достоверность: Средняя</w:t>
      </w:r>
      <w:r/>
    </w:p>
    <w:p>
      <w:pPr>
        <w:pStyle w:val="743"/>
        <w:pBdr/>
        <w:spacing/>
        <w:ind/>
        <w:rPr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Отсутствуют заголовки X-Frame-Options или CSP frame-ancestors, что позволяет встраивать сайт в iframe для проведения атак кликджекинга.</w:t>
      </w:r>
      <w:bookmarkEnd w:id="31"/>
      <w:bookmarkEnd w:id="32"/>
      <w:r/>
    </w:p>
    <w:p>
      <w:pPr>
        <w:pStyle w:val="754"/>
        <w:pBdr/>
        <w:spacing/>
        <w:ind/>
        <w:rPr/>
      </w:pPr>
      <w:r/>
      <w:bookmarkStart w:id="36" w:name="X69c71da7028f4accfb05ec52e60ff45684db6d1"/>
      <w:r>
        <w:t xml:space="preserve">🔵 Уязвимости низкого риска</w:t>
      </w:r>
      <w:r/>
    </w:p>
    <w:p>
      <w:pPr>
        <w:pStyle w:val="755"/>
        <w:pBdr/>
        <w:spacing/>
        <w:ind/>
        <w:rPr/>
      </w:pPr>
      <w:r/>
      <w:bookmarkStart w:id="33" w:name="X33da3fd782705f231bac1370f3a432cf1b7bf62"/>
      <w:r>
        <w:t xml:space="preserve">5. Проблемы с транспортной безопасностью</w:t>
      </w:r>
      <w:r/>
    </w:p>
    <w:p>
      <w:pPr>
        <w:pStyle w:val="745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Заголовок Strict-Transport-Security не установлен</w:t>
      </w:r>
      <w:r>
        <w:t xml:space="preserve"> </w:t>
      </w:r>
      <w:r>
        <w:t xml:space="preserve">(CWE-319, 1 экземпляр)</w:t>
      </w:r>
      <w:r/>
    </w:p>
    <w:p>
      <w:pPr>
        <w:pStyle w:val="745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Строгая безопасность транспорта отключена</w:t>
      </w:r>
      <w:r>
        <w:t xml:space="preserve"> </w:t>
      </w:r>
      <w:r>
        <w:t xml:space="preserve">(CWE-319, 5 экземпляров)</w:t>
      </w:r>
      <w:bookmarkEnd w:id="33"/>
      <w:r/>
    </w:p>
    <w:p>
      <w:pPr>
        <w:pStyle w:val="755"/>
        <w:pBdr/>
        <w:spacing/>
        <w:ind/>
        <w:rPr/>
      </w:pPr>
      <w:r/>
      <w:bookmarkStart w:id="34" w:name="Xf7b1803dc9ccd8a14052daa86cc9515c5aa603a"/>
      <w:r>
        <w:t xml:space="preserve">6. Отсутствие X-Content-Type-Options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CWE-693 | WASC-15 | Достоверность: Средняя</w:t>
      </w:r>
      <w:r/>
    </w:p>
    <w:p>
      <w:pPr>
        <w:pStyle w:val="743"/>
        <w:pBdr/>
        <w:spacing/>
        <w:ind/>
        <w:rPr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Отсутствует защита от MIME-sniffing атак.</w:t>
      </w:r>
      <w:bookmarkEnd w:id="34"/>
      <w:r/>
    </w:p>
    <w:p>
      <w:pPr>
        <w:pStyle w:val="755"/>
        <w:pBdr/>
        <w:spacing/>
        <w:ind/>
        <w:rPr/>
      </w:pPr>
      <w:r/>
      <w:bookmarkStart w:id="35" w:name="X9db1f863a376ca7bb547ad56b1885e8bf8c88d3"/>
      <w:r>
        <w:t xml:space="preserve">7. Раскрытие Unix timestamp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CWE-497 | WASC-13 | Количество: 4 экземпляра | Достоверность: Низкая</w:t>
      </w:r>
      <w:r/>
    </w:p>
    <w:p>
      <w:pPr>
        <w:pStyle w:val="743"/>
        <w:pBdr/>
        <w:spacing/>
        <w:ind/>
        <w:rPr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Обнаружено раскрытие временных меток, что может предоставить информацию о времени создания контента.</w:t>
      </w:r>
      <w:bookmarkEnd w:id="35"/>
      <w:bookmarkEnd w:id="36"/>
      <w:r/>
    </w:p>
    <w:p>
      <w:pPr>
        <w:pStyle w:val="754"/>
        <w:pBdr/>
        <w:spacing/>
        <w:ind/>
        <w:rPr/>
      </w:pPr>
      <w:r/>
      <w:bookmarkStart w:id="37" w:name="X0fe797a78dc86274fe226196f94535c721059cd"/>
      <w:r>
        <w:t xml:space="preserve">ℹ️ Информационные предупреждения</w:t>
      </w:r>
      <w:r/>
    </w:p>
    <w:p>
      <w:pPr>
        <w:pStyle w:val="744"/>
        <w:pBdr/>
        <w:spacing/>
        <w:ind/>
        <w:rPr/>
      </w:pPr>
      <w:r>
        <w:t xml:space="preserve">Обнаружено 21 информационное предупреждение, включая:</w:t>
      </w:r>
      <w:r/>
    </w:p>
    <w:p>
      <w:pPr>
        <w:pStyle w:val="745"/>
        <w:numPr>
          <w:ilvl w:val="0"/>
          <w:numId w:val="11"/>
        </w:numPr>
        <w:pBdr/>
        <w:spacing/>
        <w:ind/>
        <w:rPr/>
      </w:pPr>
      <w:r>
        <w:t xml:space="preserve">Детекция технологий (WordPress, PHP, Cloudflare и др.)</w:t>
      </w:r>
      <w:r/>
    </w:p>
    <w:p>
      <w:pPr>
        <w:pStyle w:val="745"/>
        <w:numPr>
          <w:ilvl w:val="0"/>
          <w:numId w:val="11"/>
        </w:numPr>
        <w:pBdr/>
        <w:spacing/>
        <w:ind/>
        <w:rPr/>
      </w:pPr>
      <w:r>
        <w:t xml:space="preserve">Проблемы с кэшированием (5 экземпляров)</w:t>
      </w:r>
      <w:r/>
    </w:p>
    <w:p>
      <w:pPr>
        <w:pStyle w:val="745"/>
        <w:numPr>
          <w:ilvl w:val="0"/>
          <w:numId w:val="11"/>
        </w:numPr>
        <w:pBdr/>
        <w:spacing/>
        <w:ind/>
        <w:rPr/>
      </w:pPr>
      <w:r>
        <w:t xml:space="preserve">Несоответствие кодировки</w:t>
      </w:r>
      <w:r/>
    </w:p>
    <w:p>
      <w:pPr>
        <w:pStyle w:val="745"/>
        <w:numPr>
          <w:ilvl w:val="0"/>
          <w:numId w:val="11"/>
        </w:numPr>
        <w:pBdr/>
        <w:spacing/>
        <w:ind/>
        <w:rPr/>
      </w:pPr>
      <w:r>
        <w:t xml:space="preserve">Подозрительные комментарии в коде (58 экземпляров)</w:t>
      </w:r>
      <w:bookmarkEnd w:id="37"/>
      <w:bookmarkEnd w:id="38"/>
      <w:r/>
    </w:p>
    <w:p>
      <w:pPr>
        <w:pStyle w:val="753"/>
        <w:pBdr/>
        <w:spacing/>
        <w:ind/>
        <w:rPr/>
      </w:pPr>
      <w:r/>
      <w:bookmarkStart w:id="45" w:name="анализ-соответствия-owasp-top-10-2021"/>
      <w:r>
        <w:t xml:space="preserve">Анализ соответствия OWASP Top 10 2021</w:t>
      </w:r>
      <w:r/>
    </w:p>
    <w:p>
      <w:pPr>
        <w:pStyle w:val="754"/>
        <w:pBdr/>
        <w:spacing/>
        <w:ind/>
        <w:rPr/>
      </w:pPr>
      <w:r/>
      <w:bookmarkStart w:id="39" w:name="a012021--нарушение-контроля-доступа"/>
      <w:r>
        <w:t xml:space="preserve">A01:2021 – Нарушение контроля доступа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КРИТИЧЕСКОЕ НЕСООТВЕТСТВИЕ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Обнаруженные проблемы:</w:t>
      </w:r>
      <w:r/>
    </w:p>
    <w:p>
      <w:pPr>
        <w:pStyle w:val="745"/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Раскрытие PII</w:t>
      </w:r>
      <w:r>
        <w:t xml:space="preserve"> </w:t>
      </w:r>
      <w:r>
        <w:t xml:space="preserve">- прямое нарушение принципов контроля доступа</w:t>
      </w:r>
      <w:r/>
    </w:p>
    <w:p>
      <w:pPr>
        <w:pStyle w:val="745"/>
        <w:numPr>
          <w:ilvl w:val="0"/>
          <w:numId w:val="12"/>
        </w:numPr>
        <w:pBdr/>
        <w:spacing/>
        <w:ind/>
        <w:rPr/>
      </w:pPr>
      <w:r>
        <w:t xml:space="preserve">Отсутствие механизмов защиты чувствительной информации</w:t>
      </w:r>
      <w:r/>
    </w:p>
    <w:p>
      <w:pPr>
        <w:pStyle w:val="745"/>
        <w:numPr>
          <w:ilvl w:val="0"/>
          <w:numId w:val="12"/>
        </w:numPr>
        <w:pBdr/>
        <w:spacing/>
        <w:ind/>
        <w:rPr/>
      </w:pPr>
      <w:r>
        <w:t xml:space="preserve">Нарушение принципа "запрет по умолчанию"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Рекомендации OWASP:</w:t>
      </w:r>
      <w:r/>
    </w:p>
    <w:p>
      <w:pPr>
        <w:pStyle w:val="745"/>
        <w:numPr>
          <w:ilvl w:val="0"/>
          <w:numId w:val="13"/>
        </w:numPr>
        <w:pBdr/>
        <w:spacing/>
        <w:ind/>
        <w:rPr/>
      </w:pPr>
      <w:r>
        <w:t xml:space="preserve">Реализация строгого контроля доступа</w:t>
      </w:r>
      <w:r/>
    </w:p>
    <w:p>
      <w:pPr>
        <w:pStyle w:val="745"/>
        <w:numPr>
          <w:ilvl w:val="0"/>
          <w:numId w:val="13"/>
        </w:numPr>
        <w:pBdr/>
        <w:spacing/>
        <w:ind/>
        <w:rPr/>
      </w:pPr>
      <w:r>
        <w:t xml:space="preserve">Логирование неудачных попыток доступа</w:t>
      </w:r>
      <w:r/>
    </w:p>
    <w:p>
      <w:pPr>
        <w:pStyle w:val="745"/>
        <w:numPr>
          <w:ilvl w:val="0"/>
          <w:numId w:val="13"/>
        </w:numPr>
        <w:pBdr/>
        <w:spacing/>
        <w:ind/>
        <w:rPr/>
      </w:pPr>
      <w:r>
        <w:t xml:space="preserve">Ограничение скорости API-запросов</w:t>
      </w:r>
      <w:r/>
    </w:p>
    <w:p>
      <w:pPr>
        <w:pStyle w:val="745"/>
        <w:numPr>
          <w:ilvl w:val="0"/>
          <w:numId w:val="13"/>
        </w:numPr>
        <w:pBdr/>
        <w:spacing/>
        <w:ind/>
        <w:rPr/>
      </w:pPr>
      <w:r>
        <w:t xml:space="preserve">Регулярный аудит прав доступа</w:t>
      </w:r>
      <w:bookmarkEnd w:id="39"/>
      <w:r/>
    </w:p>
    <w:p>
      <w:pPr>
        <w:pStyle w:val="754"/>
        <w:pBdr/>
        <w:spacing/>
        <w:ind/>
        <w:rPr/>
      </w:pPr>
      <w:r/>
      <w:bookmarkStart w:id="40" w:name="a032021--инъекции"/>
      <w:r>
        <w:t xml:space="preserve">A03:2021 – Инъекции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Статус</w:t>
      </w:r>
      <w:r>
        <w:t xml:space="preserve">: ✅</w:t>
      </w:r>
      <w:r>
        <w:t xml:space="preserve"> </w:t>
      </w:r>
      <w:r>
        <w:rPr>
          <w:b/>
          <w:bCs/>
        </w:rPr>
        <w:t xml:space="preserve">СООТВЕТСТВУЕТ</w:t>
      </w:r>
      <w:r>
        <w:t xml:space="preserve"> </w:t>
      </w:r>
      <w:r>
        <w:t xml:space="preserve">(по результатам сканирования)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Не обнаружено уязвимостей типа SQL, NoSQL или OS command injection.</w:t>
      </w:r>
      <w:bookmarkEnd w:id="40"/>
      <w:r/>
    </w:p>
    <w:p>
      <w:pPr>
        <w:pStyle w:val="754"/>
        <w:pBdr/>
        <w:spacing/>
        <w:ind/>
        <w:rPr/>
      </w:pPr>
      <w:r/>
      <w:bookmarkStart w:id="41" w:name="X10345cb9230621ec6f6a8124b7e6842d544ac69"/>
      <w:r>
        <w:t xml:space="preserve">A05:2021 – Неправильная конфигурация безопасности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КРИТИЧЕСКОЕ НЕСООТВЕТСТВИЕ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Обнаруженные проблемы:</w:t>
      </w:r>
      <w:r/>
    </w:p>
    <w:p>
      <w:pPr>
        <w:pStyle w:val="745"/>
        <w:numPr>
          <w:ilvl w:val="0"/>
          <w:numId w:val="14"/>
        </w:numPr>
        <w:pBdr/>
        <w:spacing/>
        <w:ind/>
        <w:rPr/>
      </w:pPr>
      <w:r>
        <w:t xml:space="preserve">Отсутствие CSP (5 экземпляров)</w:t>
      </w:r>
      <w:r/>
    </w:p>
    <w:p>
      <w:pPr>
        <w:pStyle w:val="745"/>
        <w:numPr>
          <w:ilvl w:val="0"/>
          <w:numId w:val="14"/>
        </w:numPr>
        <w:pBdr/>
        <w:spacing/>
        <w:ind/>
        <w:rPr/>
      </w:pPr>
      <w:r>
        <w:t xml:space="preserve">Отсутствие защиты от кликджекинга (5 экземпляров)</w:t>
      </w:r>
      <w:r/>
    </w:p>
    <w:p>
      <w:pPr>
        <w:pStyle w:val="745"/>
        <w:numPr>
          <w:ilvl w:val="0"/>
          <w:numId w:val="14"/>
        </w:numPr>
        <w:pBdr/>
        <w:spacing/>
        <w:ind/>
        <w:rPr/>
      </w:pPr>
      <w:r>
        <w:t xml:space="preserve">Неправильная настройка заголовков безопасности</w:t>
      </w:r>
      <w:r/>
    </w:p>
    <w:p>
      <w:pPr>
        <w:pStyle w:val="745"/>
        <w:numPr>
          <w:ilvl w:val="0"/>
          <w:numId w:val="14"/>
        </w:numPr>
        <w:pBdr/>
        <w:spacing/>
        <w:ind/>
        <w:rPr/>
      </w:pPr>
      <w:r>
        <w:t xml:space="preserve">Отсутствие X-Content-Type-Options</w:t>
      </w:r>
      <w:r/>
    </w:p>
    <w:p>
      <w:pPr>
        <w:pStyle w:val="745"/>
        <w:numPr>
          <w:ilvl w:val="0"/>
          <w:numId w:val="14"/>
        </w:numPr>
        <w:pBdr/>
        <w:spacing/>
        <w:ind/>
        <w:rPr/>
      </w:pPr>
      <w:r>
        <w:t xml:space="preserve">Проблемы с HSTS конфигурацией</w:t>
      </w:r>
      <w:bookmarkEnd w:id="41"/>
      <w:r/>
    </w:p>
    <w:p>
      <w:pPr>
        <w:pStyle w:val="754"/>
        <w:pBdr/>
        <w:spacing/>
        <w:ind/>
        <w:rPr/>
      </w:pPr>
      <w:r/>
      <w:bookmarkStart w:id="42" w:name="X910244f9007482177847ae662cca11dfdc8cd26"/>
      <w:r>
        <w:t xml:space="preserve">A06:2021 – Уязвимые и устаревшие компоненты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Статус</w:t>
      </w:r>
      <w:r>
        <w:t xml:space="preserve">: ⚠️</w:t>
      </w:r>
      <w:r>
        <w:t xml:space="preserve"> </w:t>
      </w:r>
      <w:r>
        <w:rPr>
          <w:b/>
          <w:bCs/>
        </w:rPr>
        <w:t xml:space="preserve">ТРЕБУЕТ ПРОВЕРКИ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Обнаруженные компоненты:</w:t>
      </w:r>
      <w:r/>
    </w:p>
    <w:p>
      <w:pPr>
        <w:pStyle w:val="745"/>
        <w:numPr>
          <w:ilvl w:val="0"/>
          <w:numId w:val="15"/>
        </w:numPr>
        <w:pBdr/>
        <w:spacing/>
        <w:ind/>
        <w:rPr/>
      </w:pPr>
      <w:r>
        <w:t xml:space="preserve">WordPress (версия не определена)</w:t>
      </w:r>
      <w:r/>
    </w:p>
    <w:p>
      <w:pPr>
        <w:pStyle w:val="745"/>
        <w:numPr>
          <w:ilvl w:val="0"/>
          <w:numId w:val="15"/>
        </w:numPr>
        <w:pBdr/>
        <w:spacing/>
        <w:ind/>
        <w:rPr/>
      </w:pPr>
      <w:r>
        <w:t xml:space="preserve">PHP (версия не определена)</w:t>
      </w:r>
      <w:r/>
    </w:p>
    <w:p>
      <w:pPr>
        <w:pStyle w:val="745"/>
        <w:numPr>
          <w:ilvl w:val="0"/>
          <w:numId w:val="15"/>
        </w:numPr>
        <w:pBdr/>
        <w:spacing/>
        <w:ind/>
        <w:rPr/>
      </w:pPr>
      <w:r>
        <w:t xml:space="preserve">LiteSpeed веб-сервер</w:t>
      </w:r>
      <w:r/>
    </w:p>
    <w:p>
      <w:pPr>
        <w:pStyle w:val="745"/>
        <w:numPr>
          <w:ilvl w:val="0"/>
          <w:numId w:val="15"/>
        </w:numPr>
        <w:pBdr/>
        <w:spacing/>
        <w:ind/>
        <w:rPr/>
      </w:pPr>
      <w:r>
        <w:t xml:space="preserve">Множественные плагины: Blocksy, Stackable, LiteSpeed Cache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Рекомендации:</w:t>
      </w:r>
      <w:r>
        <w:t xml:space="preserve"> </w:t>
      </w:r>
      <w:r>
        <w:t xml:space="preserve">Необходим детальный аудит версий всех компонентов.</w:t>
      </w:r>
      <w:bookmarkEnd w:id="42"/>
      <w:r/>
    </w:p>
    <w:p>
      <w:pPr>
        <w:pStyle w:val="754"/>
        <w:pBdr/>
        <w:spacing/>
        <w:ind/>
        <w:rPr/>
      </w:pPr>
      <w:r/>
      <w:bookmarkStart w:id="43" w:name="X3959b65ddd389496712e6807f1c6b9b779261df"/>
      <w:r>
        <w:t xml:space="preserve">A08:2021 – Недостатки целостности программного обеспечения и данных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НЕСООТВЕТСТВИЕ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Проблемы:</w:t>
      </w:r>
      <w:r/>
    </w:p>
    <w:p>
      <w:pPr>
        <w:pStyle w:val="745"/>
        <w:numPr>
          <w:ilvl w:val="0"/>
          <w:numId w:val="16"/>
        </w:numPr>
        <w:pBdr/>
        <w:spacing/>
        <w:ind/>
        <w:rPr/>
      </w:pPr>
      <w:r>
        <w:t xml:space="preserve">Отсутствие Subresource Integrity для внешних ресурсов (5 экземпляров)</w:t>
      </w:r>
      <w:r/>
    </w:p>
    <w:p>
      <w:pPr>
        <w:pStyle w:val="745"/>
        <w:numPr>
          <w:ilvl w:val="0"/>
          <w:numId w:val="16"/>
        </w:numPr>
        <w:pBdr/>
        <w:spacing/>
        <w:ind/>
        <w:rPr/>
      </w:pPr>
      <w:r>
        <w:t xml:space="preserve">Риск компрометации через CDN и внешние библиотеки</w:t>
      </w:r>
      <w:r/>
    </w:p>
    <w:p>
      <w:pPr>
        <w:pStyle w:val="745"/>
        <w:numPr>
          <w:ilvl w:val="0"/>
          <w:numId w:val="16"/>
        </w:numPr>
        <w:pBdr/>
        <w:spacing/>
        <w:ind/>
        <w:rPr/>
      </w:pPr>
      <w:r>
        <w:t xml:space="preserve">Отсутствие проверки целостности обновлений</w:t>
      </w:r>
      <w:bookmarkEnd w:id="43"/>
      <w:r/>
    </w:p>
    <w:p>
      <w:pPr>
        <w:pStyle w:val="754"/>
        <w:pBdr/>
        <w:spacing/>
        <w:ind/>
        <w:rPr/>
      </w:pPr>
      <w:r/>
      <w:bookmarkStart w:id="44" w:name="X27925fd009fd34a9e0eba10e489b26e9560d245"/>
      <w:r>
        <w:t xml:space="preserve">A09:2021 – Недостаточное логирование и мониторинг</w:t>
      </w:r>
      <w:r/>
    </w:p>
    <w:p>
      <w:pPr>
        <w:pStyle w:val="762"/>
        <w:pBdr/>
        <w:spacing/>
        <w:ind/>
        <w:rPr/>
      </w:pPr>
      <w:r>
        <w:rPr>
          <w:b/>
          <w:bCs/>
        </w:rPr>
        <w:t xml:space="preserve">Статус</w:t>
      </w:r>
      <w:r>
        <w:t xml:space="preserve">: ❌</w:t>
      </w:r>
      <w:r>
        <w:t xml:space="preserve"> </w:t>
      </w:r>
      <w:r>
        <w:rPr>
          <w:b/>
          <w:bCs/>
        </w:rPr>
        <w:t xml:space="preserve">НЕСООТВЕТСТВИЕ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Проблемы:</w:t>
      </w:r>
      <w:r/>
    </w:p>
    <w:p>
      <w:pPr>
        <w:pStyle w:val="745"/>
        <w:numPr>
          <w:ilvl w:val="0"/>
          <w:numId w:val="17"/>
        </w:numPr>
        <w:pBdr/>
        <w:spacing/>
        <w:ind/>
        <w:rPr/>
      </w:pPr>
      <w:r>
        <w:t xml:space="preserve">Отсутствие информации о системах логирования</w:t>
      </w:r>
      <w:r/>
    </w:p>
    <w:p>
      <w:pPr>
        <w:pStyle w:val="745"/>
        <w:numPr>
          <w:ilvl w:val="0"/>
          <w:numId w:val="17"/>
        </w:numPr>
        <w:pBdr/>
        <w:spacing/>
        <w:ind/>
        <w:rPr/>
      </w:pPr>
      <w:r>
        <w:t xml:space="preserve">Неизвестно состояние мониторинга безопасности</w:t>
      </w:r>
      <w:r/>
    </w:p>
    <w:p>
      <w:pPr>
        <w:pStyle w:val="745"/>
        <w:numPr>
          <w:ilvl w:val="0"/>
          <w:numId w:val="17"/>
        </w:numPr>
        <w:pBdr/>
        <w:spacing/>
        <w:ind/>
        <w:rPr/>
      </w:pPr>
      <w:r>
        <w:t xml:space="preserve">Отсутствие системы обнаружения аномалий</w:t>
      </w:r>
      <w:bookmarkEnd w:id="44"/>
      <w:bookmarkEnd w:id="45"/>
      <w:r/>
    </w:p>
    <w:p>
      <w:pPr>
        <w:pStyle w:val="753"/>
        <w:pBdr/>
        <w:spacing/>
        <w:ind/>
        <w:rPr/>
      </w:pPr>
      <w:r/>
      <w:bookmarkStart w:id="52" w:name="Xadaeee32a77b9120674e43b1578a2fbaf3c3df2"/>
      <w:r>
        <w:t xml:space="preserve">Соответствие NIST Cybersecurity Framework 2.0</w:t>
      </w:r>
      <w:r/>
    </w:p>
    <w:p>
      <w:pPr>
        <w:pStyle w:val="754"/>
        <w:pBdr/>
        <w:spacing/>
        <w:ind/>
        <w:rPr/>
      </w:pPr>
      <w:r/>
      <w:bookmarkStart w:id="46" w:name="govern-управление---20-соответствие"/>
      <w:r>
        <w:t xml:space="preserve">GOVERN (Управление) - 20% 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GV.OC-01: Организационная кибербезопасность</w:t>
      </w:r>
      <w:r/>
    </w:p>
    <w:p>
      <w:pPr>
        <w:pStyle w:val="745"/>
        <w:numPr>
          <w:ilvl w:val="0"/>
          <w:numId w:val="18"/>
        </w:numPr>
        <w:pBdr/>
        <w:spacing/>
        <w:ind/>
        <w:rPr/>
      </w:pPr>
      <w:r>
        <w:t xml:space="preserve">❌ Отсутствуют доказательства формализованной политики безопасности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GV.RM-01: Управление рисками</w:t>
      </w:r>
      <w:r/>
    </w:p>
    <w:p>
      <w:pPr>
        <w:pStyle w:val="745"/>
        <w:numPr>
          <w:ilvl w:val="0"/>
          <w:numId w:val="19"/>
        </w:numPr>
        <w:pBdr/>
        <w:spacing/>
        <w:ind/>
        <w:rPr/>
      </w:pPr>
      <w:r>
        <w:t xml:space="preserve">❌ Не реализованы процедуры управления рисками кибербезопасности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GV.SC-01: Управление цепочкой поставок</w:t>
      </w:r>
      <w:r/>
    </w:p>
    <w:p>
      <w:pPr>
        <w:pStyle w:val="745"/>
        <w:numPr>
          <w:ilvl w:val="0"/>
          <w:numId w:val="20"/>
        </w:numPr>
        <w:pBdr/>
        <w:spacing/>
        <w:ind/>
        <w:rPr/>
      </w:pPr>
      <w:r>
        <w:t xml:space="preserve">❌ Отсутствует контроль целостности внешних ресурсов</w:t>
      </w:r>
      <w:bookmarkEnd w:id="46"/>
      <w:r/>
    </w:p>
    <w:p>
      <w:pPr>
        <w:pStyle w:val="754"/>
        <w:pBdr/>
        <w:spacing/>
        <w:ind/>
        <w:rPr/>
      </w:pPr>
      <w:r/>
      <w:bookmarkStart w:id="47" w:name="identify-идентификация---60-соответствие"/>
      <w:r>
        <w:t xml:space="preserve">IDENTIFY (Идентификация) - 60% 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ID.AM-02: Инвентаризация программного обеспечения</w:t>
      </w:r>
      <w:r/>
    </w:p>
    <w:p>
      <w:pPr>
        <w:pStyle w:val="745"/>
        <w:numPr>
          <w:ilvl w:val="0"/>
          <w:numId w:val="21"/>
        </w:numPr>
        <w:pBdr/>
        <w:spacing/>
        <w:ind/>
        <w:rPr/>
      </w:pPr>
      <w:r>
        <w:t xml:space="preserve">✅ Частично выполнено - идентифицированы основные компоненты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ID.RA-01: Оценка уязвимостей</w:t>
      </w:r>
      <w:r/>
    </w:p>
    <w:p>
      <w:pPr>
        <w:pStyle w:val="745"/>
        <w:numPr>
          <w:ilvl w:val="0"/>
          <w:numId w:val="22"/>
        </w:numPr>
        <w:pBdr/>
        <w:spacing/>
        <w:ind/>
        <w:rPr/>
      </w:pPr>
      <w:r>
        <w:t xml:space="preserve">✅ Выполнено - проведено сканирование безопасности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ID.RA-02: Анализ угроз</w:t>
      </w:r>
      <w:r/>
    </w:p>
    <w:p>
      <w:pPr>
        <w:pStyle w:val="745"/>
        <w:numPr>
          <w:ilvl w:val="0"/>
          <w:numId w:val="23"/>
        </w:numPr>
        <w:pBdr/>
        <w:spacing/>
        <w:ind/>
        <w:rPr/>
      </w:pPr>
      <w:r>
        <w:t xml:space="preserve">❌ Отсутствует систематический анализ угроз</w:t>
      </w:r>
      <w:bookmarkEnd w:id="47"/>
      <w:r/>
    </w:p>
    <w:p>
      <w:pPr>
        <w:pStyle w:val="754"/>
        <w:pBdr/>
        <w:spacing/>
        <w:ind/>
        <w:rPr/>
      </w:pPr>
      <w:r/>
      <w:bookmarkStart w:id="48" w:name="protect-защита---15-соответствие"/>
      <w:r>
        <w:t xml:space="preserve">PROTECT (Защита) - 15% 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PR.AC-01: Управление идентификацией и аутентификацией</w:t>
      </w:r>
      <w:r/>
    </w:p>
    <w:p>
      <w:pPr>
        <w:pStyle w:val="745"/>
        <w:numPr>
          <w:ilvl w:val="0"/>
          <w:numId w:val="24"/>
        </w:numPr>
        <w:pBdr/>
        <w:spacing/>
        <w:ind/>
        <w:rPr/>
      </w:pPr>
      <w:r>
        <w:t xml:space="preserve">❌ Недостаточно данных для оценки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PR.DS-01: Защита данных в покое</w:t>
      </w:r>
      <w:r/>
    </w:p>
    <w:p>
      <w:pPr>
        <w:pStyle w:val="745"/>
        <w:numPr>
          <w:ilvl w:val="0"/>
          <w:numId w:val="25"/>
        </w:numPr>
        <w:pBdr/>
        <w:spacing/>
        <w:ind/>
        <w:rPr/>
      </w:pPr>
      <w:r>
        <w:t xml:space="preserve">❌ Обнаружено раскрытие PII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PR.DS-02: Защита данных при передаче</w:t>
      </w:r>
      <w:r/>
    </w:p>
    <w:p>
      <w:pPr>
        <w:pStyle w:val="745"/>
        <w:numPr>
          <w:ilvl w:val="0"/>
          <w:numId w:val="26"/>
        </w:numPr>
        <w:pBdr/>
        <w:spacing/>
        <w:ind/>
        <w:rPr/>
      </w:pPr>
      <w:r>
        <w:t xml:space="preserve">⚠️ Частично реализовано (HTTPS, но проблемы с HSTS)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PR.PT-01: Аудит/логирование</w:t>
      </w:r>
      <w:r/>
    </w:p>
    <w:p>
      <w:pPr>
        <w:pStyle w:val="745"/>
        <w:numPr>
          <w:ilvl w:val="0"/>
          <w:numId w:val="27"/>
        </w:numPr>
        <w:pBdr/>
        <w:spacing/>
        <w:ind/>
        <w:rPr/>
      </w:pPr>
      <w:r>
        <w:t xml:space="preserve">❌ Недостаточно информации о системах аудита</w:t>
      </w:r>
      <w:bookmarkEnd w:id="48"/>
      <w:r/>
    </w:p>
    <w:p>
      <w:pPr>
        <w:pStyle w:val="754"/>
        <w:pBdr/>
        <w:spacing/>
        <w:ind/>
        <w:rPr/>
      </w:pPr>
      <w:r/>
      <w:bookmarkStart w:id="49" w:name="detect-обнаружение---0-соответствие"/>
      <w:r>
        <w:t xml:space="preserve">DETECT (Обнаружение) - 0% 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DE.CM-01: Мониторинг сети</w:t>
      </w:r>
      <w:r/>
    </w:p>
    <w:p>
      <w:pPr>
        <w:pStyle w:val="745"/>
        <w:numPr>
          <w:ilvl w:val="0"/>
          <w:numId w:val="28"/>
        </w:numPr>
        <w:pBdr/>
        <w:spacing/>
        <w:ind/>
        <w:rPr/>
      </w:pPr>
      <w:r>
        <w:t xml:space="preserve">❌ Отсутствуют доказательства мониторинга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DE.AE-01: Обнаружение аномалий</w:t>
      </w:r>
      <w:r/>
    </w:p>
    <w:p>
      <w:pPr>
        <w:pStyle w:val="745"/>
        <w:numPr>
          <w:ilvl w:val="0"/>
          <w:numId w:val="29"/>
        </w:numPr>
        <w:pBdr/>
        <w:spacing/>
        <w:ind/>
        <w:rPr/>
      </w:pPr>
      <w:r>
        <w:t xml:space="preserve">❌ Отсутствуют системы обнаружения аномалий</w:t>
      </w:r>
      <w:bookmarkEnd w:id="49"/>
      <w:r/>
    </w:p>
    <w:p>
      <w:pPr>
        <w:pStyle w:val="754"/>
        <w:pBdr/>
        <w:spacing/>
        <w:ind/>
        <w:rPr/>
      </w:pPr>
      <w:r/>
      <w:bookmarkStart w:id="50" w:name="respond-реагирование---0-соответствие"/>
      <w:r>
        <w:t xml:space="preserve">RESPOND (Реагирование) - 0% 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RS.RP-01: План реагирования</w:t>
      </w:r>
      <w:r/>
    </w:p>
    <w:p>
      <w:pPr>
        <w:pStyle w:val="745"/>
        <w:numPr>
          <w:ilvl w:val="0"/>
          <w:numId w:val="30"/>
        </w:numPr>
        <w:pBdr/>
        <w:spacing/>
        <w:ind/>
        <w:rPr/>
      </w:pPr>
      <w:r>
        <w:t xml:space="preserve">❌ Отсутствуют доказательства плана реагирования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RS.CO-01: Коммуникации</w:t>
      </w:r>
      <w:r/>
    </w:p>
    <w:p>
      <w:pPr>
        <w:pStyle w:val="745"/>
        <w:numPr>
          <w:ilvl w:val="0"/>
          <w:numId w:val="31"/>
        </w:numPr>
        <w:pBdr/>
        <w:spacing/>
        <w:ind/>
        <w:rPr/>
      </w:pPr>
      <w:r>
        <w:t xml:space="preserve">❌ Отсутствуют процедуры уведомления о инцидентах</w:t>
      </w:r>
      <w:bookmarkEnd w:id="50"/>
      <w:r/>
    </w:p>
    <w:p>
      <w:pPr>
        <w:pStyle w:val="754"/>
        <w:pBdr/>
        <w:spacing/>
        <w:ind/>
        <w:rPr/>
      </w:pPr>
      <w:r/>
      <w:bookmarkStart w:id="51" w:name="recover-восстановление---0-соответствие"/>
      <w:r>
        <w:t xml:space="preserve">RECOVER (Восстановление) - 0% соответствие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RC.RP-01: План восстановления</w:t>
      </w:r>
      <w:r/>
    </w:p>
    <w:p>
      <w:pPr>
        <w:pStyle w:val="745"/>
        <w:numPr>
          <w:ilvl w:val="0"/>
          <w:numId w:val="32"/>
        </w:numPr>
        <w:pBdr/>
        <w:spacing/>
        <w:ind/>
        <w:rPr/>
      </w:pPr>
      <w:r>
        <w:t xml:space="preserve">❌ Отсутствуют доказательства плана восстановления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RC.CO-01: Коммуникации восстановления</w:t>
      </w:r>
      <w:r/>
    </w:p>
    <w:p>
      <w:pPr>
        <w:pStyle w:val="745"/>
        <w:numPr>
          <w:ilvl w:val="0"/>
          <w:numId w:val="33"/>
        </w:numPr>
        <w:pBdr/>
        <w:spacing/>
        <w:ind/>
        <w:rPr/>
      </w:pPr>
      <w:r>
        <w:t xml:space="preserve">❌ Отсутствуют процедуры коммуникации при восстановлении</w:t>
      </w:r>
      <w:bookmarkEnd w:id="51"/>
      <w:bookmarkEnd w:id="52"/>
      <w:r/>
    </w:p>
    <w:p>
      <w:pPr>
        <w:pStyle w:val="753"/>
        <w:pBdr/>
        <w:spacing/>
        <w:ind/>
        <w:rPr/>
      </w:pPr>
      <w:r/>
      <w:bookmarkStart w:id="57" w:name="соответствие-microsoft-security-baseline"/>
      <w:r>
        <w:t xml:space="preserve">Соответствие Microsoft Security Baseline</w:t>
      </w:r>
      <w:r/>
    </w:p>
    <w:p>
      <w:pPr>
        <w:pStyle w:val="754"/>
        <w:pBdr/>
        <w:spacing/>
        <w:ind/>
        <w:rPr/>
      </w:pPr>
      <w:r/>
      <w:bookmarkStart w:id="53" w:name="транспортная-безопасность"/>
      <w:r>
        <w:t xml:space="preserve">Транспортная безопасность</w:t>
      </w:r>
      <w:r/>
    </w:p>
    <w:p>
      <w:pPr>
        <w:pStyle w:val="744"/>
        <w:pBdr/>
        <w:spacing/>
        <w:ind/>
        <w:rPr/>
      </w:pPr>
      <w:r>
        <w:t xml:space="preserve">❌</w:t>
      </w:r>
      <w:r>
        <w:t xml:space="preserve"> </w:t>
      </w:r>
      <w:r>
        <w:rPr>
          <w:b/>
          <w:bCs/>
        </w:rPr>
        <w:t xml:space="preserve">КРИТИЧЕСКИЕ НЕДОСТАТКИ:</w:t>
      </w:r>
      <w:r/>
    </w:p>
    <w:p>
      <w:pPr>
        <w:pStyle w:val="745"/>
        <w:numPr>
          <w:ilvl w:val="0"/>
          <w:numId w:val="34"/>
        </w:numPr>
        <w:pBdr/>
        <w:spacing/>
        <w:ind/>
        <w:rPr/>
      </w:pPr>
      <w:r>
        <w:t xml:space="preserve">Заголовок Strict-Transport-Security не установлен (1 экземпляр)</w:t>
      </w:r>
      <w:r/>
    </w:p>
    <w:p>
      <w:pPr>
        <w:pStyle w:val="745"/>
        <w:numPr>
          <w:ilvl w:val="0"/>
          <w:numId w:val="34"/>
        </w:numPr>
        <w:pBdr/>
        <w:spacing/>
        <w:ind/>
        <w:rPr/>
      </w:pPr>
      <w:r>
        <w:t xml:space="preserve">Строгая безопасность транспорта отключена (5 экземпляров)</w:t>
      </w:r>
      <w:r/>
    </w:p>
    <w:p>
      <w:pPr>
        <w:pStyle w:val="745"/>
        <w:numPr>
          <w:ilvl w:val="0"/>
          <w:numId w:val="34"/>
        </w:numPr>
        <w:pBdr/>
        <w:spacing/>
        <w:ind/>
        <w:rPr/>
      </w:pPr>
      <w:r>
        <w:t xml:space="preserve">Отсутствует принудительное использование HTTPS для всех ресурсов</w:t>
      </w:r>
      <w:bookmarkEnd w:id="53"/>
      <w:r/>
    </w:p>
    <w:p>
      <w:pPr>
        <w:pStyle w:val="754"/>
        <w:pBdr/>
        <w:spacing/>
        <w:ind/>
        <w:rPr/>
      </w:pPr>
      <w:r/>
      <w:bookmarkStart w:id="54" w:name="защита-контента"/>
      <w:r>
        <w:t xml:space="preserve">Защита контента</w:t>
      </w:r>
      <w:r/>
    </w:p>
    <w:p>
      <w:pPr>
        <w:pStyle w:val="744"/>
        <w:pBdr/>
        <w:spacing/>
        <w:ind/>
        <w:rPr/>
      </w:pPr>
      <w:r>
        <w:t xml:space="preserve">❌</w:t>
      </w:r>
      <w:r>
        <w:t xml:space="preserve"> </w:t>
      </w:r>
      <w:r>
        <w:rPr>
          <w:b/>
          <w:bCs/>
        </w:rPr>
        <w:t xml:space="preserve">КРИТИЧЕСКИЕ НЕДОСТАТКИ:</w:t>
      </w:r>
      <w:r/>
    </w:p>
    <w:p>
      <w:pPr>
        <w:pStyle w:val="745"/>
        <w:numPr>
          <w:ilvl w:val="0"/>
          <w:numId w:val="35"/>
        </w:numPr>
        <w:pBdr/>
        <w:spacing/>
        <w:ind/>
        <w:rPr/>
      </w:pPr>
      <w:r>
        <w:t xml:space="preserve">Заголовок X-Content-Type-Options отсутствует</w:t>
      </w:r>
      <w:r/>
    </w:p>
    <w:p>
      <w:pPr>
        <w:pStyle w:val="745"/>
        <w:numPr>
          <w:ilvl w:val="0"/>
          <w:numId w:val="35"/>
        </w:numPr>
        <w:pBdr/>
        <w:spacing/>
        <w:ind/>
        <w:rPr/>
      </w:pPr>
      <w:r>
        <w:t xml:space="preserve">Отсутствует Content Security Policy (5 экземпляров)</w:t>
      </w:r>
      <w:r/>
    </w:p>
    <w:p>
      <w:pPr>
        <w:pStyle w:val="745"/>
        <w:numPr>
          <w:ilvl w:val="0"/>
          <w:numId w:val="35"/>
        </w:numPr>
        <w:pBdr/>
        <w:spacing/>
        <w:ind/>
        <w:rPr/>
      </w:pPr>
      <w:r>
        <w:t xml:space="preserve">Нет защиты от MIME-sniffing атак</w:t>
      </w:r>
      <w:r/>
    </w:p>
    <w:p>
      <w:pPr>
        <w:pStyle w:val="745"/>
        <w:numPr>
          <w:ilvl w:val="0"/>
          <w:numId w:val="35"/>
        </w:numPr>
        <w:pBdr/>
        <w:spacing/>
        <w:ind/>
        <w:rPr/>
      </w:pPr>
      <w:r>
        <w:t xml:space="preserve">Отсутствует защита от кликджекинга</w:t>
      </w:r>
      <w:bookmarkEnd w:id="54"/>
      <w:r/>
    </w:p>
    <w:p>
      <w:pPr>
        <w:pStyle w:val="754"/>
        <w:pBdr/>
        <w:spacing/>
        <w:ind/>
        <w:rPr/>
      </w:pPr>
      <w:r/>
      <w:bookmarkStart w:id="55" w:name="целостность-ресурсов"/>
      <w:r>
        <w:t xml:space="preserve">Целостность ресурсов</w:t>
      </w:r>
      <w:r/>
    </w:p>
    <w:p>
      <w:pPr>
        <w:pStyle w:val="744"/>
        <w:pBdr/>
        <w:spacing/>
        <w:ind/>
        <w:rPr/>
      </w:pPr>
      <w:r>
        <w:t xml:space="preserve">❌</w:t>
      </w:r>
      <w:r>
        <w:t xml:space="preserve"> </w:t>
      </w:r>
      <w:r>
        <w:rPr>
          <w:b/>
          <w:bCs/>
        </w:rPr>
        <w:t xml:space="preserve">СРЕДНИЙ РИСК:</w:t>
      </w:r>
      <w:r/>
    </w:p>
    <w:p>
      <w:pPr>
        <w:pStyle w:val="745"/>
        <w:numPr>
          <w:ilvl w:val="0"/>
          <w:numId w:val="36"/>
        </w:numPr>
        <w:pBdr/>
        <w:spacing/>
        <w:ind/>
        <w:rPr/>
      </w:pPr>
      <w:r>
        <w:t xml:space="preserve">Отсутствует атрибут Subresource Integrity для внешних ресурсов (5 экземпляров)</w:t>
      </w:r>
      <w:r/>
    </w:p>
    <w:p>
      <w:pPr>
        <w:pStyle w:val="745"/>
        <w:numPr>
          <w:ilvl w:val="0"/>
          <w:numId w:val="36"/>
        </w:numPr>
        <w:pBdr/>
        <w:spacing/>
        <w:ind/>
        <w:rPr/>
      </w:pPr>
      <w:r>
        <w:t xml:space="preserve">Риск компрометации внешних библиотек от Google Font API, Cloudflare и других CDN</w:t>
      </w:r>
      <w:r/>
    </w:p>
    <w:p>
      <w:pPr>
        <w:pStyle w:val="745"/>
        <w:numPr>
          <w:ilvl w:val="0"/>
          <w:numId w:val="36"/>
        </w:numPr>
        <w:pBdr/>
        <w:spacing/>
        <w:ind/>
        <w:rPr/>
      </w:pPr>
      <w:r>
        <w:t xml:space="preserve">Отсутствует проверка целостности при загрузке ресурсов</w:t>
      </w:r>
      <w:bookmarkEnd w:id="55"/>
      <w:r/>
    </w:p>
    <w:p>
      <w:pPr>
        <w:pStyle w:val="754"/>
        <w:pBdr/>
        <w:spacing/>
        <w:ind/>
        <w:rPr/>
      </w:pPr>
      <w:r/>
      <w:bookmarkStart w:id="56" w:name="управление-данными"/>
      <w:r>
        <w:t xml:space="preserve">Управление данными</w:t>
      </w:r>
      <w:r/>
    </w:p>
    <w:p>
      <w:pPr>
        <w:pStyle w:val="744"/>
        <w:pBdr/>
        <w:spacing/>
        <w:ind/>
        <w:rPr/>
      </w:pPr>
      <w:r>
        <w:t xml:space="preserve">❌</w:t>
      </w:r>
      <w:r>
        <w:t xml:space="preserve"> </w:t>
      </w:r>
      <w:r>
        <w:rPr>
          <w:b/>
          <w:bCs/>
        </w:rPr>
        <w:t xml:space="preserve">КРИТИЧЕСКИЙ РИСК:</w:t>
      </w:r>
      <w:r/>
    </w:p>
    <w:p>
      <w:pPr>
        <w:pStyle w:val="745"/>
        <w:numPr>
          <w:ilvl w:val="0"/>
          <w:numId w:val="37"/>
        </w:numPr>
        <w:pBdr/>
        <w:spacing/>
        <w:ind/>
        <w:rPr/>
      </w:pPr>
      <w:r>
        <w:t xml:space="preserve">Обнаружена утечка персональных данных</w:t>
      </w:r>
      <w:r/>
    </w:p>
    <w:p>
      <w:pPr>
        <w:pStyle w:val="745"/>
        <w:numPr>
          <w:ilvl w:val="0"/>
          <w:numId w:val="37"/>
        </w:numPr>
        <w:pBdr/>
        <w:spacing/>
        <w:ind/>
        <w:rPr/>
      </w:pPr>
      <w:r>
        <w:t xml:space="preserve">Отсутствует классификация данных</w:t>
      </w:r>
      <w:r/>
    </w:p>
    <w:p>
      <w:pPr>
        <w:pStyle w:val="745"/>
        <w:numPr>
          <w:ilvl w:val="0"/>
          <w:numId w:val="37"/>
        </w:numPr>
        <w:pBdr/>
        <w:spacing/>
        <w:ind/>
        <w:rPr/>
      </w:pPr>
      <w:r>
        <w:t xml:space="preserve">Нет контроля доступа к чувствительной информации</w:t>
      </w:r>
      <w:bookmarkEnd w:id="56"/>
      <w:bookmarkEnd w:id="57"/>
      <w:r/>
    </w:p>
    <w:p>
      <w:pPr>
        <w:pStyle w:val="753"/>
        <w:pBdr/>
        <w:spacing/>
        <w:ind/>
        <w:rPr/>
      </w:pPr>
      <w:r/>
      <w:bookmarkStart w:id="61" w:name="план-устранения-уязвимостей"/>
      <w:r>
        <w:t xml:space="preserve">План устранения уязвимостей</w:t>
      </w:r>
      <w:r/>
    </w:p>
    <w:p>
      <w:pPr>
        <w:pStyle w:val="754"/>
        <w:pBdr/>
        <w:spacing/>
        <w:ind/>
        <w:rPr/>
      </w:pPr>
      <w:r/>
      <w:bookmarkStart w:id="58" w:name="фаза-1-критические-исправления-0-7-дней"/>
      <w:r>
        <w:t xml:space="preserve">Фаза 1: Критические исправления (0-7 дней)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🚨 ПРИОРИТЕТ 1: Устранение утечки PII (0-3 дня)</w:t>
      </w:r>
      <w:r/>
    </w:p>
    <w:p>
      <w:pPr>
        <w:pStyle w:val="745"/>
        <w:numPr>
          <w:ilvl w:val="0"/>
          <w:numId w:val="38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1</w:t>
      </w:r>
      <w:r>
        <w:t xml:space="preserve">: Немедленная идентификация и блокировка источников утечки PII</w:t>
      </w:r>
      <w:r/>
    </w:p>
    <w:p>
      <w:pPr>
        <w:pStyle w:val="745"/>
        <w:numPr>
          <w:ilvl w:val="0"/>
          <w:numId w:val="38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2</w:t>
      </w:r>
      <w:r>
        <w:t xml:space="preserve">: Реализация маскирования/шифрования чувствительных данных</w:t>
      </w:r>
      <w:r/>
    </w:p>
    <w:p>
      <w:pPr>
        <w:pStyle w:val="745"/>
        <w:numPr>
          <w:ilvl w:val="0"/>
          <w:numId w:val="38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3</w:t>
      </w:r>
      <w:r>
        <w:t xml:space="preserve">: Внедрение строгого контроля доступа к персональным данным</w:t>
      </w:r>
      <w:r/>
    </w:p>
    <w:p>
      <w:pPr>
        <w:pStyle w:val="745"/>
        <w:numPr>
          <w:ilvl w:val="0"/>
          <w:numId w:val="38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3</w:t>
      </w:r>
      <w:r>
        <w:t xml:space="preserve">: Уведомление регуляторов в соответствии с GDPR (72 часа)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🔧 ПРИОРИТЕТ 2: Базовые заголовки безопасности (4-7 дней)</w:t>
      </w:r>
      <w:r/>
    </w:p>
    <w:p>
      <w:pPr>
        <w:pStyle w:val="745"/>
        <w:numPr>
          <w:ilvl w:val="0"/>
          <w:numId w:val="39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4-5</w:t>
      </w:r>
      <w:r>
        <w:t xml:space="preserve">: Внедрение Content Security Policy</w:t>
      </w:r>
      <w:r/>
    </w:p>
    <w:p>
      <w:pPr>
        <w:pStyle w:val="780"/>
        <w:pBdr/>
        <w:spacing/>
        <w:ind/>
        <w:rPr/>
      </w:pPr>
      <w:r>
        <w:rPr>
          <w:rStyle w:val="775"/>
        </w:rPr>
        <w:t xml:space="preserve">Content-Security-Policy: default-src 'self'; </w:t>
      </w:r>
      <w:r>
        <w:br/>
      </w:r>
      <w:r>
        <w:rPr>
          <w:rStyle w:val="775"/>
        </w:rPr>
        <w:t xml:space="preserve">script-src 'self' 'unsafe-inline' https://cdnjs.cloudflare.com https://fonts.googleapis.com; </w:t>
      </w:r>
      <w:r>
        <w:br/>
      </w:r>
      <w:r>
        <w:rPr>
          <w:rStyle w:val="775"/>
        </w:rPr>
        <w:t xml:space="preserve">style-src 'self' 'unsafe-inline' https://fonts.googleapis.com;</w:t>
      </w:r>
      <w:r>
        <w:br/>
      </w:r>
      <w:r>
        <w:rPr>
          <w:rStyle w:val="775"/>
        </w:rPr>
        <w:t xml:space="preserve">img-src 'self' data: https: https://secure.gravatar.com;</w:t>
      </w:r>
      <w:r>
        <w:br/>
      </w:r>
      <w:r>
        <w:rPr>
          <w:rStyle w:val="775"/>
        </w:rPr>
        <w:t xml:space="preserve">frame-ancestors 'none';</w:t>
      </w:r>
      <w:r>
        <w:br/>
      </w:r>
      <w:r>
        <w:rPr>
          <w:rStyle w:val="775"/>
        </w:rPr>
        <w:t xml:space="preserve">base-uri 'self';</w:t>
      </w:r>
      <w:r/>
    </w:p>
    <w:p>
      <w:pPr>
        <w:pStyle w:val="745"/>
        <w:numPr>
          <w:ilvl w:val="0"/>
          <w:numId w:val="40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6</w:t>
      </w:r>
      <w:r>
        <w:t xml:space="preserve">: Настройка защиты от кликджекинга</w:t>
      </w:r>
      <w:r/>
    </w:p>
    <w:p>
      <w:pPr>
        <w:pStyle w:val="780"/>
        <w:pBdr/>
        <w:spacing/>
        <w:ind/>
        <w:rPr/>
      </w:pPr>
      <w:r>
        <w:rPr>
          <w:rStyle w:val="775"/>
        </w:rPr>
        <w:t xml:space="preserve">X-Frame-Options: DENY</w:t>
      </w:r>
      <w:r/>
    </w:p>
    <w:p>
      <w:pPr>
        <w:pStyle w:val="745"/>
        <w:numPr>
          <w:ilvl w:val="0"/>
          <w:numId w:val="41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6</w:t>
      </w:r>
      <w:r>
        <w:t xml:space="preserve">: Настройка HSTS</w:t>
      </w:r>
      <w:r/>
    </w:p>
    <w:p>
      <w:pPr>
        <w:pStyle w:val="780"/>
        <w:pBdr/>
        <w:spacing/>
        <w:ind/>
        <w:rPr/>
      </w:pPr>
      <w:r>
        <w:rPr>
          <w:rStyle w:val="775"/>
        </w:rPr>
        <w:t xml:space="preserve">Strict-Transport-Security: max-age=31536000; includeSubDomains; preload</w:t>
      </w:r>
      <w:r/>
    </w:p>
    <w:p>
      <w:pPr>
        <w:pStyle w:val="745"/>
        <w:numPr>
          <w:ilvl w:val="0"/>
          <w:numId w:val="42"/>
        </w:numPr>
        <w:pBdr/>
        <w:spacing/>
        <w:ind/>
        <w:rPr/>
      </w:pPr>
      <w:r>
        <w:t xml:space="preserve">☐</w:t>
      </w:r>
      <w:r>
        <w:t xml:space="preserve"> </w:t>
      </w:r>
      <w:r>
        <w:rPr>
          <w:b/>
          <w:bCs/>
        </w:rPr>
        <w:t xml:space="preserve">День 7</w:t>
      </w:r>
      <w:r>
        <w:t xml:space="preserve">: Тестирование и валидация изменений</w:t>
      </w:r>
      <w:bookmarkEnd w:id="58"/>
      <w:r/>
    </w:p>
    <w:p>
      <w:pPr>
        <w:pStyle w:val="754"/>
        <w:pBdr/>
        <w:spacing/>
        <w:ind/>
        <w:rPr/>
      </w:pPr>
      <w:r/>
      <w:bookmarkStart w:id="59" w:name="фаза-2-средние-исправления-8-30-дней"/>
      <w:r>
        <w:t xml:space="preserve">Фаза 2: Средние исправления (8-30 дней)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Неделя 2: Subresource Integrity</w:t>
      </w:r>
      <w:r/>
    </w:p>
    <w:p>
      <w:pPr>
        <w:pStyle w:val="745"/>
        <w:numPr>
          <w:ilvl w:val="0"/>
          <w:numId w:val="43"/>
        </w:numPr>
        <w:pBdr/>
        <w:spacing/>
        <w:ind/>
        <w:rPr/>
      </w:pPr>
      <w:r>
        <w:t xml:space="preserve">☐ Внедрение SRI для всех внешних ресурсов</w:t>
      </w:r>
      <w:r/>
    </w:p>
    <w:p>
      <w:pPr>
        <w:pStyle w:val="780"/>
        <w:pBdr/>
        <w:spacing/>
        <w:ind/>
        <w:rPr/>
      </w:pPr>
      <w:r>
        <w:rPr>
          <w:rStyle w:val="782"/>
        </w:rPr>
        <w:t xml:space="preserve">&lt;</w:t>
      </w:r>
      <w:r>
        <w:rPr>
          <w:rStyle w:val="781"/>
        </w:rPr>
        <w:t xml:space="preserve">link</w:t>
      </w:r>
      <w:r>
        <w:rPr>
          <w:rStyle w:val="797"/>
        </w:rPr>
        <w:t xml:space="preserve"> href</w:t>
      </w:r>
      <w:r>
        <w:rPr>
          <w:rStyle w:val="801"/>
        </w:rPr>
        <w:t xml:space="preserve">=</w:t>
      </w:r>
      <w:r>
        <w:rPr>
          <w:rStyle w:val="789"/>
        </w:rPr>
        <w:t xml:space="preserve">"https://fonts.googleapis.com/css2?family=Roboto:wght@300;400;700</w:t>
      </w:r>
      <w:r>
        <w:rPr>
          <w:rStyle w:val="810"/>
        </w:rPr>
        <w:t xml:space="preserve">&amp;</w:t>
      </w:r>
      <w:r>
        <w:rPr>
          <w:rStyle w:val="789"/>
        </w:rPr>
        <w:t xml:space="preserve">display=swap"</w:t>
      </w:r>
      <w:r>
        <w:rPr>
          <w:rStyle w:val="797"/>
        </w:rPr>
        <w:t xml:space="preserve"> </w:t>
      </w:r>
      <w:r>
        <w:br/>
      </w:r>
      <w:r>
        <w:rPr>
          <w:rStyle w:val="797"/>
        </w:rPr>
        <w:t xml:space="preserve">      rel</w:t>
      </w:r>
      <w:r>
        <w:rPr>
          <w:rStyle w:val="801"/>
        </w:rPr>
        <w:t xml:space="preserve">=</w:t>
      </w:r>
      <w:r>
        <w:rPr>
          <w:rStyle w:val="789"/>
        </w:rPr>
        <w:t xml:space="preserve">"stylesheet"</w:t>
      </w:r>
      <w:r>
        <w:rPr>
          <w:rStyle w:val="797"/>
        </w:rPr>
        <w:t xml:space="preserve"> </w:t>
      </w:r>
      <w:r>
        <w:br/>
      </w:r>
      <w:r>
        <w:rPr>
          <w:rStyle w:val="797"/>
        </w:rPr>
        <w:t xml:space="preserve">      integrity</w:t>
      </w:r>
      <w:r>
        <w:rPr>
          <w:rStyle w:val="801"/>
        </w:rPr>
        <w:t xml:space="preserve">=</w:t>
      </w:r>
      <w:r>
        <w:rPr>
          <w:rStyle w:val="789"/>
        </w:rPr>
        <w:t xml:space="preserve">"sha384-hash"</w:t>
      </w:r>
      <w:r>
        <w:rPr>
          <w:rStyle w:val="797"/>
        </w:rPr>
        <w:t xml:space="preserve"> </w:t>
      </w:r>
      <w:r>
        <w:br/>
      </w:r>
      <w:r>
        <w:rPr>
          <w:rStyle w:val="797"/>
        </w:rPr>
        <w:t xml:space="preserve">      crossorigin</w:t>
      </w:r>
      <w:r>
        <w:rPr>
          <w:rStyle w:val="801"/>
        </w:rPr>
        <w:t xml:space="preserve">=</w:t>
      </w:r>
      <w:r>
        <w:rPr>
          <w:rStyle w:val="789"/>
        </w:rPr>
        <w:t xml:space="preserve">"anonymous"</w:t>
      </w:r>
      <w:r>
        <w:rPr>
          <w:rStyle w:val="782"/>
        </w:rPr>
        <w:t xml:space="preserve">&gt;</w:t>
      </w:r>
      <w:r>
        <w:br/>
      </w:r>
      <w:r>
        <w:rPr>
          <w:rStyle w:val="782"/>
        </w:rPr>
        <w:t xml:space="preserve">&lt;</w:t>
      </w:r>
      <w:r>
        <w:rPr>
          <w:rStyle w:val="781"/>
        </w:rPr>
        <w:t xml:space="preserve">script</w:t>
      </w:r>
      <w:r>
        <w:rPr>
          <w:rStyle w:val="797"/>
        </w:rPr>
        <w:t xml:space="preserve"> src</w:t>
      </w:r>
      <w:r>
        <w:rPr>
          <w:rStyle w:val="801"/>
        </w:rPr>
        <w:t xml:space="preserve">=</w:t>
      </w:r>
      <w:r>
        <w:rPr>
          <w:rStyle w:val="789"/>
        </w:rPr>
        <w:t xml:space="preserve">"https://cdnjs.cloudflare.com/ajax/libs/jquery/3.6.0/jquery.min.js"</w:t>
      </w:r>
      <w:r>
        <w:rPr>
          <w:rStyle w:val="797"/>
        </w:rPr>
        <w:t xml:space="preserve"> </w:t>
      </w:r>
      <w:r>
        <w:br/>
      </w:r>
      <w:r>
        <w:rPr>
          <w:rStyle w:val="797"/>
        </w:rPr>
        <w:t xml:space="preserve">        integrity</w:t>
      </w:r>
      <w:r>
        <w:rPr>
          <w:rStyle w:val="801"/>
        </w:rPr>
        <w:t xml:space="preserve">=</w:t>
      </w:r>
      <w:r>
        <w:rPr>
          <w:rStyle w:val="789"/>
        </w:rPr>
        <w:t xml:space="preserve">"sha384-vtXRMe3mGCbOeY7l30aIg8H9p3GdeSe4IFlP6G8JMa7o7lXvnz3GFKzPxzJdPfGK"</w:t>
      </w:r>
      <w:r>
        <w:rPr>
          <w:rStyle w:val="797"/>
        </w:rPr>
        <w:t xml:space="preserve"> </w:t>
      </w:r>
      <w:r>
        <w:br/>
      </w:r>
      <w:r>
        <w:rPr>
          <w:rStyle w:val="797"/>
        </w:rPr>
        <w:t xml:space="preserve">        crossorigin</w:t>
      </w:r>
      <w:r>
        <w:rPr>
          <w:rStyle w:val="801"/>
        </w:rPr>
        <w:t xml:space="preserve">=</w:t>
      </w:r>
      <w:r>
        <w:rPr>
          <w:rStyle w:val="789"/>
        </w:rPr>
        <w:t xml:space="preserve">"anonymous"</w:t>
      </w:r>
      <w:r>
        <w:rPr>
          <w:rStyle w:val="782"/>
        </w:rPr>
        <w:t xml:space="preserve">&gt;&lt;/</w:t>
      </w:r>
      <w:r>
        <w:rPr>
          <w:rStyle w:val="781"/>
        </w:rPr>
        <w:t xml:space="preserve">script</w:t>
      </w:r>
      <w:r>
        <w:rPr>
          <w:rStyle w:val="782"/>
        </w:rPr>
        <w:t xml:space="preserve">&gt;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Неделя 3: Дополнительные заголовки безопасности</w:t>
      </w:r>
      <w:r/>
    </w:p>
    <w:p>
      <w:pPr>
        <w:pStyle w:val="745"/>
        <w:numPr>
          <w:ilvl w:val="0"/>
          <w:numId w:val="44"/>
        </w:numPr>
        <w:pBdr/>
        <w:spacing/>
        <w:ind/>
        <w:rPr/>
      </w:pPr>
      <w:r>
        <w:t xml:space="preserve">☐ Внедрение X-Content-Type-Options</w:t>
      </w:r>
      <w:r/>
    </w:p>
    <w:p>
      <w:pPr>
        <w:pStyle w:val="780"/>
        <w:pBdr/>
        <w:spacing/>
        <w:ind/>
        <w:rPr/>
      </w:pPr>
      <w:r>
        <w:rPr>
          <w:rStyle w:val="775"/>
        </w:rPr>
        <w:t xml:space="preserve">X-Content-Type-Options: nosniff</w:t>
      </w:r>
      <w:r/>
    </w:p>
    <w:p>
      <w:pPr>
        <w:pStyle w:val="745"/>
        <w:numPr>
          <w:ilvl w:val="0"/>
          <w:numId w:val="45"/>
        </w:numPr>
        <w:pBdr/>
        <w:spacing/>
        <w:ind/>
        <w:rPr/>
      </w:pPr>
      <w:r>
        <w:t xml:space="preserve">☐ Настройка дополнительных заголовков</w:t>
      </w:r>
      <w:r/>
    </w:p>
    <w:p>
      <w:pPr>
        <w:pStyle w:val="780"/>
        <w:pBdr/>
        <w:spacing/>
        <w:ind/>
        <w:rPr/>
      </w:pPr>
      <w:r>
        <w:rPr>
          <w:rStyle w:val="775"/>
        </w:rPr>
        <w:t xml:space="preserve">X-XSS-Protection: 1; mode=block</w:t>
      </w:r>
      <w:r>
        <w:br/>
      </w:r>
      <w:r>
        <w:rPr>
          <w:rStyle w:val="775"/>
        </w:rPr>
        <w:t xml:space="preserve">Referrer-Policy: strict-origin-when-cross-origin</w:t>
      </w:r>
      <w:r>
        <w:br/>
      </w:r>
      <w:r>
        <w:rPr>
          <w:rStyle w:val="775"/>
        </w:rPr>
        <w:t xml:space="preserve">Permissions-Policy: geolocation=(), microphone=(), camera=()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Неделя 4: Аудит компонентов</w:t>
      </w:r>
      <w:r/>
    </w:p>
    <w:p>
      <w:pPr>
        <w:pStyle w:val="745"/>
        <w:numPr>
          <w:ilvl w:val="0"/>
          <w:numId w:val="46"/>
        </w:numPr>
        <w:pBdr/>
        <w:spacing/>
        <w:ind/>
        <w:rPr/>
      </w:pPr>
      <w:r>
        <w:t xml:space="preserve">☐ Проверка версий WordPress, PHP и всех плагинов</w:t>
      </w:r>
      <w:r/>
    </w:p>
    <w:p>
      <w:pPr>
        <w:pStyle w:val="745"/>
        <w:numPr>
          <w:ilvl w:val="0"/>
          <w:numId w:val="46"/>
        </w:numPr>
        <w:pBdr/>
        <w:spacing/>
        <w:ind/>
        <w:rPr/>
      </w:pPr>
      <w:r>
        <w:t xml:space="preserve">☐ Обновление устаревших компонентов</w:t>
      </w:r>
      <w:r/>
    </w:p>
    <w:p>
      <w:pPr>
        <w:pStyle w:val="745"/>
        <w:numPr>
          <w:ilvl w:val="0"/>
          <w:numId w:val="46"/>
        </w:numPr>
        <w:pBdr/>
        <w:spacing/>
        <w:ind/>
        <w:rPr/>
      </w:pPr>
      <w:r>
        <w:t xml:space="preserve">☐ Удаление неиспользуемых плагинов и тем</w:t>
      </w:r>
      <w:r/>
    </w:p>
    <w:p>
      <w:pPr>
        <w:pStyle w:val="745"/>
        <w:numPr>
          <w:ilvl w:val="0"/>
          <w:numId w:val="46"/>
        </w:numPr>
        <w:pBdr/>
        <w:spacing/>
        <w:ind/>
        <w:rPr/>
      </w:pPr>
      <w:r>
        <w:t xml:space="preserve">☐ Настройка автоматических обновлений безопасности</w:t>
      </w:r>
      <w:bookmarkEnd w:id="59"/>
      <w:r/>
    </w:p>
    <w:p>
      <w:pPr>
        <w:pStyle w:val="754"/>
        <w:pBdr/>
        <w:spacing/>
        <w:ind/>
        <w:rPr/>
      </w:pPr>
      <w:r/>
      <w:bookmarkStart w:id="60" w:name="фаза-3-долгосрочные-улучшения-31-90-дней"/>
      <w:r>
        <w:t xml:space="preserve">Фаза 3: Долгосрочные улучшения (31-90 дней)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Месяц 2: Мониторинг и логирование</w:t>
      </w:r>
      <w:r/>
    </w:p>
    <w:p>
      <w:pPr>
        <w:pStyle w:val="745"/>
        <w:numPr>
          <w:ilvl w:val="0"/>
          <w:numId w:val="47"/>
        </w:numPr>
        <w:pBdr/>
        <w:spacing/>
        <w:ind/>
        <w:rPr/>
      </w:pPr>
      <w:r>
        <w:t xml:space="preserve">☐ Внедрение системы мониторинга безопасности (SIEM)</w:t>
      </w:r>
      <w:r/>
    </w:p>
    <w:p>
      <w:pPr>
        <w:pStyle w:val="745"/>
        <w:numPr>
          <w:ilvl w:val="0"/>
          <w:numId w:val="47"/>
        </w:numPr>
        <w:pBdr/>
        <w:spacing/>
        <w:ind/>
        <w:rPr/>
      </w:pPr>
      <w:r>
        <w:t xml:space="preserve">☐ Настройка централизованного логирования</w:t>
      </w:r>
      <w:r/>
    </w:p>
    <w:p>
      <w:pPr>
        <w:pStyle w:val="745"/>
        <w:numPr>
          <w:ilvl w:val="0"/>
          <w:numId w:val="47"/>
        </w:numPr>
        <w:pBdr/>
        <w:spacing/>
        <w:ind/>
        <w:rPr/>
      </w:pPr>
      <w:r>
        <w:t xml:space="preserve">☐ Создание дашбордов безопасности</w:t>
      </w:r>
      <w:r/>
    </w:p>
    <w:p>
      <w:pPr>
        <w:pStyle w:val="745"/>
        <w:numPr>
          <w:ilvl w:val="0"/>
          <w:numId w:val="47"/>
        </w:numPr>
        <w:pBdr/>
        <w:spacing/>
        <w:ind/>
        <w:rPr/>
      </w:pPr>
      <w:r>
        <w:t xml:space="preserve">☐ Настройка алертов на подозрительную активность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Месяц 3: Процедуры и политики</w:t>
      </w:r>
      <w:r/>
    </w:p>
    <w:p>
      <w:pPr>
        <w:pStyle w:val="745"/>
        <w:numPr>
          <w:ilvl w:val="0"/>
          <w:numId w:val="48"/>
        </w:numPr>
        <w:pBdr/>
        <w:spacing/>
        <w:ind/>
        <w:rPr/>
      </w:pPr>
      <w:r>
        <w:t xml:space="preserve">☐ Разработка политики информационной безопасности</w:t>
      </w:r>
      <w:r/>
    </w:p>
    <w:p>
      <w:pPr>
        <w:pStyle w:val="745"/>
        <w:numPr>
          <w:ilvl w:val="0"/>
          <w:numId w:val="48"/>
        </w:numPr>
        <w:pBdr/>
        <w:spacing/>
        <w:ind/>
        <w:rPr/>
      </w:pPr>
      <w:r>
        <w:t xml:space="preserve">☐ Создание процедур реагирования на инциденты</w:t>
      </w:r>
      <w:r/>
    </w:p>
    <w:p>
      <w:pPr>
        <w:pStyle w:val="745"/>
        <w:numPr>
          <w:ilvl w:val="0"/>
          <w:numId w:val="48"/>
        </w:numPr>
        <w:pBdr/>
        <w:spacing/>
        <w:ind/>
        <w:rPr/>
      </w:pPr>
      <w:r>
        <w:t xml:space="preserve">☐ Разработка плана восстановления после инцидентов</w:t>
      </w:r>
      <w:r/>
    </w:p>
    <w:p>
      <w:pPr>
        <w:pStyle w:val="745"/>
        <w:numPr>
          <w:ilvl w:val="0"/>
          <w:numId w:val="48"/>
        </w:numPr>
        <w:pBdr/>
        <w:spacing/>
        <w:ind/>
        <w:rPr/>
      </w:pPr>
      <w:r>
        <w:t xml:space="preserve">☐ Обучение персонала основам кибербезопасности</w:t>
      </w:r>
      <w:r/>
    </w:p>
    <w:p>
      <w:pPr>
        <w:pStyle w:val="745"/>
        <w:numPr>
          <w:ilvl w:val="0"/>
          <w:numId w:val="48"/>
        </w:numPr>
        <w:pBdr/>
        <w:spacing/>
        <w:ind/>
        <w:rPr/>
      </w:pPr>
      <w:r>
        <w:t xml:space="preserve">☐ Регулярные тесты на проникновение</w:t>
      </w:r>
      <w:bookmarkEnd w:id="60"/>
      <w:bookmarkEnd w:id="61"/>
      <w:r/>
    </w:p>
    <w:p>
      <w:pPr>
        <w:pStyle w:val="753"/>
        <w:pBdr/>
        <w:spacing/>
        <w:ind/>
        <w:rPr/>
      </w:pPr>
      <w:r/>
      <w:bookmarkStart w:id="66" w:name="заключение"/>
      <w:r>
        <w:t xml:space="preserve">Заключение</w:t>
      </w:r>
      <w:r/>
    </w:p>
    <w:p>
      <w:pPr>
        <w:pStyle w:val="744"/>
        <w:pBdr/>
        <w:spacing/>
        <w:ind/>
        <w:rPr/>
      </w:pPr>
      <w:r>
        <w:t xml:space="preserve">Анализ безопасности веб-сайта</w:t>
      </w:r>
      <w:r>
        <w:t xml:space="preserve"> </w:t>
      </w:r>
      <w:hyperlink r:id="rId11" w:tooltip="https://example.com" w:history="1">
        <w:r>
          <w:rPr>
            <w:rStyle w:val="778"/>
          </w:rPr>
          <w:t xml:space="preserve">https://example.com</w:t>
        </w:r>
      </w:hyperlink>
      <w:r>
        <w:t xml:space="preserve"> </w:t>
      </w:r>
      <w:r>
        <w:t xml:space="preserve">выявил</w:t>
      </w:r>
      <w:r>
        <w:t xml:space="preserve"> </w:t>
      </w:r>
      <w:r>
        <w:rPr>
          <w:b/>
          <w:bCs/>
        </w:rPr>
        <w:t xml:space="preserve">критические недостатки</w:t>
      </w:r>
      <w:r>
        <w:t xml:space="preserve"> </w:t>
      </w:r>
      <w:r>
        <w:t xml:space="preserve">в области защиты информации. Сайт</w:t>
      </w:r>
      <w:r>
        <w:t xml:space="preserve"> </w:t>
      </w:r>
      <w:r>
        <w:rPr>
          <w:b/>
          <w:bCs/>
        </w:rPr>
        <w:t xml:space="preserve">не соответствует</w:t>
      </w:r>
      <w:r>
        <w:t xml:space="preserve"> </w:t>
      </w:r>
      <w:r>
        <w:t xml:space="preserve">основным требованиям международных стандартов безопасности OWASP Top 10 2021, NIST CSF 2.0 и Microsoft Security Baseline.</w:t>
      </w:r>
      <w:r/>
    </w:p>
    <w:p>
      <w:pPr>
        <w:pStyle w:val="754"/>
        <w:pBdr/>
        <w:spacing/>
        <w:ind/>
        <w:rPr/>
      </w:pPr>
      <w:r/>
      <w:bookmarkStart w:id="62" w:name="критическая-оценка-рисков"/>
      <w:r>
        <w:t xml:space="preserve">Критическая оценка рисков:</w:t>
      </w:r>
      <w:r/>
    </w:p>
    <w:p>
      <w:pPr>
        <w:pStyle w:val="745"/>
        <w:numPr>
          <w:ilvl w:val="0"/>
          <w:numId w:val="49"/>
        </w:numPr>
        <w:pBdr/>
        <w:spacing/>
        <w:ind/>
        <w:rPr/>
      </w:pPr>
      <w:r>
        <w:rPr>
          <w:b/>
          <w:bCs/>
        </w:rPr>
        <w:t xml:space="preserve">Текущий уровень риска</w:t>
      </w:r>
      <w:r>
        <w:t xml:space="preserve">: 🔴</w:t>
      </w:r>
      <w:r>
        <w:t xml:space="preserve"> </w:t>
      </w:r>
      <w:r>
        <w:rPr>
          <w:b/>
          <w:bCs/>
        </w:rPr>
        <w:t xml:space="preserve">КРИТИЧЕСКИЙ</w:t>
      </w:r>
      <w:r/>
    </w:p>
    <w:p>
      <w:pPr>
        <w:pStyle w:val="745"/>
        <w:numPr>
          <w:ilvl w:val="0"/>
          <w:numId w:val="49"/>
        </w:numPr>
        <w:pBdr/>
        <w:spacing/>
        <w:ind/>
        <w:rPr/>
      </w:pPr>
      <w:r>
        <w:rPr>
          <w:b/>
          <w:bCs/>
        </w:rPr>
        <w:t xml:space="preserve">Основная угроза</w:t>
      </w:r>
      <w:r>
        <w:t xml:space="preserve">: Утечка персональных данных пользователей</w:t>
      </w:r>
      <w:r/>
    </w:p>
    <w:p>
      <w:pPr>
        <w:pStyle w:val="745"/>
        <w:numPr>
          <w:ilvl w:val="0"/>
          <w:numId w:val="49"/>
        </w:numPr>
        <w:pBdr/>
        <w:spacing/>
        <w:ind/>
        <w:rPr/>
      </w:pPr>
      <w:r>
        <w:rPr>
          <w:b/>
          <w:bCs/>
        </w:rPr>
        <w:t xml:space="preserve">Регуляторные риски</w:t>
      </w:r>
      <w:r>
        <w:t xml:space="preserve">: Высокие штрафы по GDPR (до 4% от годового оборота)</w:t>
      </w:r>
      <w:r/>
    </w:p>
    <w:p>
      <w:pPr>
        <w:pStyle w:val="745"/>
        <w:numPr>
          <w:ilvl w:val="0"/>
          <w:numId w:val="49"/>
        </w:numPr>
        <w:pBdr/>
        <w:spacing/>
        <w:ind/>
        <w:rPr/>
      </w:pPr>
      <w:r>
        <w:rPr>
          <w:b/>
          <w:bCs/>
        </w:rPr>
        <w:t xml:space="preserve">Репутационные риски</w:t>
      </w:r>
      <w:r>
        <w:t xml:space="preserve">: Серьезная потеря доверия клиентов</w:t>
      </w:r>
      <w:r/>
    </w:p>
    <w:p>
      <w:pPr>
        <w:pStyle w:val="745"/>
        <w:numPr>
          <w:ilvl w:val="0"/>
          <w:numId w:val="49"/>
        </w:numPr>
        <w:pBdr/>
        <w:spacing/>
        <w:ind/>
        <w:rPr/>
      </w:pPr>
      <w:r>
        <w:rPr>
          <w:b/>
          <w:bCs/>
        </w:rPr>
        <w:t xml:space="preserve">Операционные риски</w:t>
      </w:r>
      <w:r>
        <w:t xml:space="preserve">: Возможная приостановка деятельности</w:t>
      </w:r>
      <w:bookmarkEnd w:id="62"/>
      <w:r/>
    </w:p>
    <w:p>
      <w:pPr>
        <w:pStyle w:val="754"/>
        <w:pBdr/>
        <w:spacing/>
        <w:ind/>
        <w:rPr/>
      </w:pPr>
      <w:r/>
      <w:bookmarkStart w:id="63" w:name="соответствие-стандартам"/>
      <w:r>
        <w:t xml:space="preserve">Соответствие стандартам:</w:t>
      </w:r>
      <w:r/>
    </w:p>
    <w:tbl>
      <w:tblPr>
        <w:tblStyle w:val="766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Стандарт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Уровень соответствия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Критические проблемы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OWASP Top 10 2021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20%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A01, A05, A08, A09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NIST CSF 2.0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19%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Все функции кроме частичной идентификации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Microsoft Security Baseline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15%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45"/>
              <w:pBdr/>
              <w:spacing/>
              <w:ind/>
              <w:jc w:val="left"/>
              <w:rPr/>
            </w:pPr>
            <w:r>
              <w:t xml:space="preserve">Транспорт, контент, данные</w:t>
            </w:r>
            <w:bookmarkEnd w:id="63"/>
            <w:r/>
          </w:p>
        </w:tc>
      </w:tr>
    </w:tbl>
    <w:p>
      <w:pPr>
        <w:pStyle w:val="754"/>
        <w:pBdr/>
        <w:spacing/>
        <w:ind/>
        <w:rPr/>
      </w:pPr>
      <w:r/>
      <w:bookmarkStart w:id="64" w:name="ключевые-рекомендации"/>
      <w:r>
        <w:t xml:space="preserve">Ключевые рекомендации:</w:t>
      </w:r>
      <w:r/>
    </w:p>
    <w:p>
      <w:pPr>
        <w:pStyle w:val="745"/>
        <w:numPr>
          <w:ilvl w:val="0"/>
          <w:numId w:val="50"/>
        </w:numPr>
        <w:pBdr/>
        <w:spacing/>
        <w:ind/>
        <w:rPr/>
      </w:pPr>
      <w:r>
        <w:rPr>
          <w:b/>
          <w:bCs/>
        </w:rPr>
        <w:t xml:space="preserve">Немедленное устранение</w:t>
      </w:r>
      <w:r>
        <w:t xml:space="preserve"> </w:t>
      </w:r>
      <w:r>
        <w:t xml:space="preserve">утечки персональных данных (0-3 дня)</w:t>
      </w:r>
      <w:r/>
    </w:p>
    <w:p>
      <w:pPr>
        <w:pStyle w:val="745"/>
        <w:numPr>
          <w:ilvl w:val="0"/>
          <w:numId w:val="50"/>
        </w:numPr>
        <w:pBdr/>
        <w:spacing/>
        <w:ind/>
        <w:rPr/>
      </w:pPr>
      <w:r>
        <w:rPr>
          <w:b/>
          <w:bCs/>
        </w:rPr>
        <w:t xml:space="preserve">Внедрение базовых механизмов защиты</w:t>
      </w:r>
      <w:r>
        <w:t xml:space="preserve"> </w:t>
      </w:r>
      <w:r>
        <w:t xml:space="preserve">веб-приложения (4-7 дней)</w:t>
      </w:r>
      <w:r/>
    </w:p>
    <w:p>
      <w:pPr>
        <w:pStyle w:val="745"/>
        <w:numPr>
          <w:ilvl w:val="0"/>
          <w:numId w:val="50"/>
        </w:numPr>
        <w:pBdr/>
        <w:spacing/>
        <w:ind/>
        <w:rPr/>
      </w:pPr>
      <w:r>
        <w:rPr>
          <w:b/>
          <w:bCs/>
        </w:rPr>
        <w:t xml:space="preserve">Регулярное обновление</w:t>
      </w:r>
      <w:r>
        <w:t xml:space="preserve"> </w:t>
      </w:r>
      <w:r>
        <w:t xml:space="preserve">всех компонентов системы</w:t>
      </w:r>
      <w:r/>
    </w:p>
    <w:p>
      <w:pPr>
        <w:pStyle w:val="745"/>
        <w:numPr>
          <w:ilvl w:val="0"/>
          <w:numId w:val="50"/>
        </w:numPr>
        <w:pBdr/>
        <w:spacing/>
        <w:ind/>
        <w:rPr/>
      </w:pPr>
      <w:r>
        <w:rPr>
          <w:b/>
          <w:bCs/>
        </w:rPr>
        <w:t xml:space="preserve">Создание процедур</w:t>
      </w:r>
      <w:r>
        <w:t xml:space="preserve"> </w:t>
      </w:r>
      <w:r>
        <w:t xml:space="preserve">мониторинга и реагирования на инциденты</w:t>
      </w:r>
      <w:r/>
    </w:p>
    <w:p>
      <w:pPr>
        <w:pStyle w:val="745"/>
        <w:numPr>
          <w:ilvl w:val="0"/>
          <w:numId w:val="50"/>
        </w:numPr>
        <w:pBdr/>
        <w:spacing/>
        <w:ind/>
        <w:rPr/>
      </w:pPr>
      <w:r>
        <w:rPr>
          <w:b/>
          <w:bCs/>
        </w:rPr>
        <w:t xml:space="preserve">Обучение персонала</w:t>
      </w:r>
      <w:r>
        <w:t xml:space="preserve"> </w:t>
      </w:r>
      <w:r>
        <w:t xml:space="preserve">основам информационной безопасности</w:t>
      </w:r>
      <w:bookmarkEnd w:id="64"/>
      <w:r/>
    </w:p>
    <w:p>
      <w:pPr>
        <w:pStyle w:val="754"/>
        <w:pBdr/>
        <w:spacing/>
        <w:ind/>
        <w:rPr/>
      </w:pPr>
      <w:r/>
      <w:bookmarkStart w:id="65" w:name="прогноз-улучшения"/>
      <w:r>
        <w:t xml:space="preserve">Прогноз улучшения:</w:t>
      </w:r>
      <w:r/>
    </w:p>
    <w:p>
      <w:pPr>
        <w:pStyle w:val="745"/>
        <w:numPr>
          <w:ilvl w:val="0"/>
          <w:numId w:val="51"/>
        </w:numPr>
        <w:pBdr/>
        <w:spacing/>
        <w:ind/>
        <w:rPr/>
      </w:pPr>
      <w:r>
        <w:rPr>
          <w:b/>
          <w:bCs/>
        </w:rPr>
        <w:t xml:space="preserve">После Фазы 1</w:t>
      </w:r>
      <w:r>
        <w:t xml:space="preserve">: Снижение риска до 🟡</w:t>
      </w:r>
      <w:r>
        <w:t xml:space="preserve"> </w:t>
      </w:r>
      <w:r>
        <w:rPr>
          <w:b/>
          <w:bCs/>
        </w:rPr>
        <w:t xml:space="preserve">СРЕДНЕГО</w:t>
      </w:r>
      <w:r>
        <w:t xml:space="preserve"> </w:t>
      </w:r>
      <w:r>
        <w:t xml:space="preserve">(устранение критических уязвимостей)</w:t>
      </w:r>
      <w:r/>
    </w:p>
    <w:p>
      <w:pPr>
        <w:pStyle w:val="745"/>
        <w:numPr>
          <w:ilvl w:val="0"/>
          <w:numId w:val="51"/>
        </w:numPr>
        <w:pBdr/>
        <w:spacing/>
        <w:ind/>
        <w:rPr/>
      </w:pPr>
      <w:r>
        <w:rPr>
          <w:b/>
          <w:bCs/>
        </w:rPr>
        <w:t xml:space="preserve">После Фазы 2</w:t>
      </w:r>
      <w:r>
        <w:t xml:space="preserve">: Снижение риска до 🔵</w:t>
      </w:r>
      <w:r>
        <w:t xml:space="preserve"> </w:t>
      </w:r>
      <w:r>
        <w:rPr>
          <w:b/>
          <w:bCs/>
        </w:rPr>
        <w:t xml:space="preserve">НИЗКОГО</w:t>
      </w:r>
      <w:r>
        <w:t xml:space="preserve"> </w:t>
      </w:r>
      <w:r>
        <w:t xml:space="preserve">(базовая защита)</w:t>
      </w:r>
      <w:r/>
    </w:p>
    <w:p>
      <w:pPr>
        <w:pStyle w:val="745"/>
        <w:numPr>
          <w:ilvl w:val="0"/>
          <w:numId w:val="51"/>
        </w:numPr>
        <w:pBdr/>
        <w:spacing/>
        <w:ind/>
        <w:rPr/>
      </w:pPr>
      <w:r>
        <w:rPr>
          <w:b/>
          <w:bCs/>
        </w:rPr>
        <w:t xml:space="preserve">После Фазы 3</w:t>
      </w:r>
      <w:r>
        <w:t xml:space="preserve">: Достижение 🟢</w:t>
      </w:r>
      <w:r>
        <w:t xml:space="preserve"> </w:t>
      </w:r>
      <w:r>
        <w:rPr>
          <w:b/>
          <w:bCs/>
        </w:rPr>
        <w:t xml:space="preserve">ПРИЕМЛЕМОГО</w:t>
      </w:r>
      <w:r>
        <w:t xml:space="preserve"> </w:t>
      </w:r>
      <w:r>
        <w:t xml:space="preserve">уровня безопасности (соответствие стандартам)</w:t>
      </w:r>
      <w:r/>
    </w:p>
    <w:p>
      <w:pPr>
        <w:pStyle w:val="744"/>
        <w:pBdr/>
        <w:spacing/>
        <w:ind/>
        <w:rPr/>
      </w:pPr>
      <w:r>
        <w:rPr>
          <w:b/>
          <w:bCs/>
        </w:rPr>
        <w:t xml:space="preserve">Следующие шаги:</w:t>
      </w:r>
      <w:r>
        <w:t xml:space="preserve"> </w:t>
      </w:r>
      <w:r>
        <w:t xml:space="preserve">Рекомендуется</w:t>
      </w:r>
      <w:r>
        <w:t xml:space="preserve"> </w:t>
      </w:r>
      <w:r>
        <w:rPr>
          <w:b/>
          <w:bCs/>
        </w:rPr>
        <w:t xml:space="preserve">немедленно</w:t>
      </w:r>
      <w:r>
        <w:t xml:space="preserve"> </w:t>
      </w:r>
      <w:r>
        <w:t xml:space="preserve">приступить к реализации Фазы 1 плана устранения уязвимостей, уделив особое внимание устранению утечки персональных данных и уведомлению регуляторов в соответствии с требованиями GDPR.</w:t>
      </w:r>
      <w:bookmarkEnd w:id="65"/>
      <w:bookmarkEnd w:id="66"/>
      <w:r/>
    </w:p>
    <w:p>
      <w:pPr>
        <w:pStyle w:val="753"/>
        <w:pBdr/>
        <w:spacing/>
        <w:ind/>
        <w:rPr/>
      </w:pPr>
      <w:r/>
      <w:bookmarkStart w:id="73" w:name="ссылки"/>
      <w:r>
        <w:t xml:space="preserve">Ссылки</w:t>
      </w:r>
      <w:r/>
    </w:p>
    <w:p>
      <w:pPr>
        <w:pStyle w:val="744"/>
        <w:pBdr/>
        <w:spacing/>
        <w:ind/>
        <w:rPr/>
      </w:pPr>
      <w:r/>
      <w:bookmarkStart w:id="67" w:name="ref-1"/>
      <w:r/>
      <w:bookmarkEnd w:id="67"/>
      <w:r>
        <w:t xml:space="preserve">[1] OWASP Foundation. (2024).</w:t>
      </w:r>
      <w:r>
        <w:t xml:space="preserve"> </w:t>
      </w:r>
      <w:r>
        <w:rPr>
          <w:i/>
          <w:iCs/>
        </w:rPr>
        <w:t xml:space="preserve">OWASP Zed Attack Proxy (ZAP)</w:t>
      </w:r>
      <w:r>
        <w:t xml:space="preserve">.</w:t>
      </w:r>
      <w:r>
        <w:t xml:space="preserve"> </w:t>
      </w:r>
      <w:hyperlink r:id="rId12" w:tooltip="https://zaproxy.org" w:history="1">
        <w:r>
          <w:rPr>
            <w:rStyle w:val="778"/>
          </w:rPr>
          <w:t xml:space="preserve">https://zaproxy.org</w:t>
        </w:r>
      </w:hyperlink>
      <w:r/>
      <w:r/>
    </w:p>
    <w:p>
      <w:pPr>
        <w:pStyle w:val="743"/>
        <w:pBdr/>
        <w:spacing/>
        <w:ind/>
        <w:rPr/>
      </w:pPr>
      <w:r/>
      <w:bookmarkStart w:id="69" w:name="ref-2"/>
      <w:r/>
      <w:bookmarkEnd w:id="69"/>
      <w:r>
        <w:t xml:space="preserve">[2] OWASP Foundation. (2021).</w:t>
      </w:r>
      <w:r>
        <w:t xml:space="preserve"> </w:t>
      </w:r>
      <w:r>
        <w:rPr>
          <w:i/>
          <w:iCs/>
        </w:rPr>
        <w:t xml:space="preserve">OWASP Top 10:2021</w:t>
      </w:r>
      <w:r>
        <w:t xml:space="preserve">.</w:t>
      </w:r>
      <w:r>
        <w:t xml:space="preserve"> </w:t>
      </w:r>
      <w:hyperlink r:id="rId13" w:tooltip="https://owasp.org/Top10/2021/" w:history="1">
        <w:r>
          <w:rPr>
            <w:rStyle w:val="778"/>
          </w:rPr>
          <w:t xml:space="preserve">https://owasp.org/Top10/2021/</w:t>
        </w:r>
      </w:hyperlink>
      <w:r/>
      <w:r/>
    </w:p>
    <w:p>
      <w:pPr>
        <w:pStyle w:val="743"/>
        <w:pBdr/>
        <w:spacing/>
        <w:ind/>
        <w:rPr/>
      </w:pPr>
      <w:r/>
      <w:bookmarkStart w:id="71" w:name="ref-3"/>
      <w:r/>
      <w:bookmarkEnd w:id="71"/>
      <w:r>
        <w:t xml:space="preserve">[3] NIST. (2024).</w:t>
      </w:r>
      <w:r>
        <w:t xml:space="preserve"> </w:t>
      </w:r>
      <w:r>
        <w:rPr>
          <w:i/>
          <w:iCs/>
        </w:rPr>
        <w:t xml:space="preserve">The NIST Cybersecurity Framework (CSF) 2.0</w:t>
      </w:r>
      <w:r>
        <w:t xml:space="preserve">.</w:t>
      </w:r>
      <w:r>
        <w:t xml:space="preserve"> </w:t>
      </w:r>
      <w:hyperlink r:id="rId14" w:tooltip="https://www.nist.gov/publications/nist-cybersecurity-framework-csf-20" w:history="1">
        <w:r>
          <w:rPr>
            <w:rStyle w:val="778"/>
          </w:rPr>
          <w:t xml:space="preserve">https://www.nist.gov/publications/nist-cybersecurity-framework-csf-20</w:t>
        </w:r>
      </w:hyperlink>
      <w:r/>
      <w:bookmarkEnd w:id="73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65"/>
    <w:link w:val="7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5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5"/>
    <w:link w:val="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5"/>
    <w:link w:val="7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5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5"/>
    <w:link w:val="7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5"/>
    <w:link w:val="7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5"/>
    <w:link w:val="7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5"/>
    <w:link w:val="7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5"/>
    <w:link w:val="7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5"/>
    <w:link w:val="7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2"/>
    <w:next w:val="74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2"/>
    <w:next w:val="74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65"/>
    <w:link w:val="176"/>
    <w:uiPriority w:val="99"/>
    <w:pPr>
      <w:pBdr/>
      <w:spacing/>
      <w:ind/>
    </w:pPr>
  </w:style>
  <w:style w:type="paragraph" w:styleId="178">
    <w:name w:val="Footer"/>
    <w:basedOn w:val="74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65"/>
    <w:link w:val="178"/>
    <w:uiPriority w:val="99"/>
    <w:pPr>
      <w:pBdr/>
      <w:spacing/>
      <w:ind/>
    </w:pPr>
  </w:style>
  <w:style w:type="character" w:styleId="182">
    <w:name w:val="Footnote Text Char"/>
    <w:basedOn w:val="765"/>
    <w:link w:val="763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paragraph" w:styleId="742" w:default="1">
    <w:name w:val="Normal"/>
    <w:qFormat/>
    <w:pPr>
      <w:pBdr/>
      <w:spacing/>
      <w:ind/>
    </w:pPr>
  </w:style>
  <w:style w:type="paragraph" w:styleId="743">
    <w:name w:val="Body Text"/>
    <w:basedOn w:val="742"/>
    <w:link w:val="774"/>
    <w:qFormat/>
    <w:pPr>
      <w:pBdr/>
      <w:spacing w:after="180" w:before="180"/>
      <w:ind/>
    </w:pPr>
  </w:style>
  <w:style w:type="paragraph" w:styleId="744" w:customStyle="1">
    <w:name w:val="First Paragraph"/>
    <w:basedOn w:val="743"/>
    <w:next w:val="743"/>
    <w:qFormat/>
    <w:pPr>
      <w:pBdr/>
      <w:spacing/>
      <w:ind/>
    </w:pPr>
  </w:style>
  <w:style w:type="paragraph" w:styleId="745" w:customStyle="1">
    <w:name w:val="Compact"/>
    <w:basedOn w:val="743"/>
    <w:qFormat/>
    <w:pPr>
      <w:pBdr/>
      <w:spacing w:after="36" w:before="36"/>
      <w:ind/>
    </w:pPr>
  </w:style>
  <w:style w:type="paragraph" w:styleId="746">
    <w:name w:val="Title"/>
    <w:basedOn w:val="742"/>
    <w:next w:val="743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47">
    <w:name w:val="Subtitle"/>
    <w:basedOn w:val="746"/>
    <w:next w:val="743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48" w:customStyle="1">
    <w:name w:val="Author"/>
    <w:next w:val="743"/>
    <w:qFormat/>
    <w:pPr>
      <w:keepNext w:val="true"/>
      <w:keepLines w:val="true"/>
      <w:pBdr/>
      <w:spacing/>
      <w:ind/>
      <w:jc w:val="center"/>
    </w:pPr>
  </w:style>
  <w:style w:type="paragraph" w:styleId="749">
    <w:name w:val="Date"/>
    <w:next w:val="743"/>
    <w:qFormat/>
    <w:pPr>
      <w:keepNext w:val="true"/>
      <w:keepLines w:val="true"/>
      <w:pBdr/>
      <w:spacing/>
      <w:ind/>
      <w:jc w:val="center"/>
    </w:pPr>
  </w:style>
  <w:style w:type="paragraph" w:styleId="750" w:customStyle="1">
    <w:name w:val="Abstract Title"/>
    <w:basedOn w:val="742"/>
    <w:next w:val="751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51" w:customStyle="1">
    <w:name w:val="Abstract"/>
    <w:basedOn w:val="742"/>
    <w:next w:val="743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52">
    <w:name w:val="Bibliography"/>
    <w:basedOn w:val="742"/>
    <w:next w:val="752"/>
    <w:qFormat/>
    <w:pPr>
      <w:pBdr/>
      <w:spacing/>
      <w:ind/>
    </w:pPr>
  </w:style>
  <w:style w:type="paragraph" w:styleId="753">
    <w:name w:val="Heading 1"/>
    <w:basedOn w:val="742"/>
    <w:next w:val="74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54">
    <w:name w:val="Heading 2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55">
    <w:name w:val="Heading 3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56">
    <w:name w:val="Heading 4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57">
    <w:name w:val="Heading 5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58">
    <w:name w:val="Heading 6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59">
    <w:name w:val="Heading 7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60">
    <w:name w:val="Heading 8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61">
    <w:name w:val="Heading 9"/>
    <w:basedOn w:val="742"/>
    <w:next w:val="743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62">
    <w:name w:val="Block Text"/>
    <w:basedOn w:val="743"/>
    <w:next w:val="743"/>
    <w:uiPriority w:val="9"/>
    <w:unhideWhenUsed/>
    <w:qFormat/>
    <w:pPr>
      <w:pBdr/>
      <w:spacing w:after="100" w:before="100"/>
      <w:ind w:right="480" w:firstLine="0" w:left="480"/>
    </w:pPr>
  </w:style>
  <w:style w:type="paragraph" w:styleId="763">
    <w:name w:val="footnote text"/>
    <w:basedOn w:val="742"/>
    <w:next w:val="763"/>
    <w:uiPriority w:val="9"/>
    <w:unhideWhenUsed/>
    <w:qFormat/>
    <w:pPr>
      <w:pBdr/>
      <w:spacing/>
      <w:ind/>
    </w:pPr>
  </w:style>
  <w:style w:type="paragraph" w:styleId="764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65" w:default="1">
    <w:name w:val="Default Paragraph Font"/>
    <w:semiHidden/>
    <w:unhideWhenUsed/>
    <w:pPr>
      <w:pBdr/>
      <w:spacing/>
      <w:ind/>
    </w:pPr>
  </w:style>
  <w:style w:type="table" w:styleId="766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7" w:customStyle="1">
    <w:name w:val="Definition Term"/>
    <w:basedOn w:val="742"/>
    <w:next w:val="768"/>
    <w:pPr>
      <w:keepNext w:val="true"/>
      <w:keepLines w:val="true"/>
      <w:pBdr/>
      <w:spacing w:after="0"/>
      <w:ind/>
    </w:pPr>
    <w:rPr>
      <w:b/>
    </w:rPr>
  </w:style>
  <w:style w:type="paragraph" w:styleId="768" w:customStyle="1">
    <w:name w:val="Definition"/>
    <w:basedOn w:val="742"/>
    <w:pPr>
      <w:pBdr/>
      <w:spacing/>
      <w:ind/>
    </w:pPr>
  </w:style>
  <w:style w:type="paragraph" w:styleId="769">
    <w:name w:val="Caption"/>
    <w:basedOn w:val="742"/>
    <w:link w:val="774"/>
    <w:pPr>
      <w:pBdr/>
      <w:spacing w:after="120" w:before="0"/>
      <w:ind/>
    </w:pPr>
    <w:rPr>
      <w:i/>
    </w:rPr>
  </w:style>
  <w:style w:type="paragraph" w:styleId="770" w:customStyle="1">
    <w:name w:val="Table Caption"/>
    <w:basedOn w:val="769"/>
    <w:pPr>
      <w:keepNext w:val="true"/>
      <w:pBdr/>
      <w:spacing/>
      <w:ind/>
    </w:pPr>
  </w:style>
  <w:style w:type="paragraph" w:styleId="771" w:customStyle="1">
    <w:name w:val="Image Caption"/>
    <w:basedOn w:val="769"/>
    <w:pPr>
      <w:pBdr/>
      <w:spacing/>
      <w:ind/>
    </w:pPr>
  </w:style>
  <w:style w:type="paragraph" w:styleId="772" w:customStyle="1">
    <w:name w:val="Figure"/>
    <w:basedOn w:val="742"/>
    <w:pPr>
      <w:pBdr/>
      <w:spacing/>
      <w:ind/>
    </w:pPr>
  </w:style>
  <w:style w:type="paragraph" w:styleId="773" w:customStyle="1">
    <w:name w:val="Captioned Figure"/>
    <w:basedOn w:val="772"/>
    <w:pPr>
      <w:keepNext w:val="true"/>
      <w:pBdr/>
      <w:spacing/>
      <w:ind/>
    </w:pPr>
  </w:style>
  <w:style w:type="character" w:styleId="774" w:customStyle="1">
    <w:name w:val="Body Text Char"/>
    <w:basedOn w:val="765"/>
    <w:link w:val="743"/>
    <w:pPr>
      <w:pBdr/>
      <w:spacing/>
      <w:ind/>
    </w:pPr>
  </w:style>
  <w:style w:type="character" w:styleId="775" w:customStyle="1">
    <w:name w:val="Verbatim Char"/>
    <w:basedOn w:val="774"/>
    <w:pPr>
      <w:pBdr/>
      <w:spacing/>
      <w:ind/>
    </w:pPr>
    <w:rPr>
      <w:rFonts w:ascii="Consolas" w:hAnsi="Consolas"/>
      <w:sz w:val="22"/>
    </w:rPr>
  </w:style>
  <w:style w:type="character" w:styleId="776" w:customStyle="1">
    <w:name w:val="Section Number"/>
    <w:basedOn w:val="774"/>
    <w:pPr>
      <w:pBdr/>
      <w:spacing/>
      <w:ind/>
    </w:pPr>
  </w:style>
  <w:style w:type="character" w:styleId="777">
    <w:name w:val="footnote reference"/>
    <w:basedOn w:val="774"/>
    <w:pPr>
      <w:pBdr/>
      <w:spacing/>
      <w:ind/>
    </w:pPr>
    <w:rPr>
      <w:vertAlign w:val="superscript"/>
    </w:rPr>
  </w:style>
  <w:style w:type="character" w:styleId="778">
    <w:name w:val="Hyperlink"/>
    <w:basedOn w:val="774"/>
    <w:pPr>
      <w:pBdr/>
      <w:spacing/>
      <w:ind/>
    </w:pPr>
    <w:rPr>
      <w:color w:val="4f81bd" w:themeColor="accent1"/>
    </w:rPr>
  </w:style>
  <w:style w:type="paragraph" w:styleId="779">
    <w:name w:val="TOC Heading"/>
    <w:basedOn w:val="753"/>
    <w:next w:val="743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80" w:customStyle="1">
    <w:name w:val="Source Code"/>
    <w:basedOn w:val="742"/>
    <w:link w:val="775"/>
    <w:pPr>
      <w:pBdr/>
      <w:spacing/>
      <w:ind/>
    </w:pPr>
  </w:style>
  <w:style w:type="character" w:styleId="781" w:customStyle="1">
    <w:name w:val="KeywordTok"/>
    <w:basedOn w:val="775"/>
    <w:pPr>
      <w:pBdr/>
      <w:spacing/>
      <w:ind/>
    </w:pPr>
    <w:rPr>
      <w:b/>
      <w:color w:val="007020"/>
    </w:rPr>
  </w:style>
  <w:style w:type="character" w:styleId="782" w:customStyle="1">
    <w:name w:val="DataTypeTok"/>
    <w:basedOn w:val="775"/>
    <w:pPr>
      <w:pBdr/>
      <w:spacing/>
      <w:ind/>
    </w:pPr>
    <w:rPr>
      <w:color w:val="902000"/>
    </w:rPr>
  </w:style>
  <w:style w:type="character" w:styleId="783" w:customStyle="1">
    <w:name w:val="DecValTok"/>
    <w:basedOn w:val="775"/>
    <w:pPr>
      <w:pBdr/>
      <w:spacing/>
      <w:ind/>
    </w:pPr>
    <w:rPr>
      <w:color w:val="40a070"/>
    </w:rPr>
  </w:style>
  <w:style w:type="character" w:styleId="784" w:customStyle="1">
    <w:name w:val="BaseNTok"/>
    <w:basedOn w:val="775"/>
    <w:pPr>
      <w:pBdr/>
      <w:spacing/>
      <w:ind/>
    </w:pPr>
    <w:rPr>
      <w:color w:val="40a070"/>
    </w:rPr>
  </w:style>
  <w:style w:type="character" w:styleId="785" w:customStyle="1">
    <w:name w:val="FloatTok"/>
    <w:basedOn w:val="775"/>
    <w:pPr>
      <w:pBdr/>
      <w:spacing/>
      <w:ind/>
    </w:pPr>
    <w:rPr>
      <w:color w:val="40a070"/>
    </w:rPr>
  </w:style>
  <w:style w:type="character" w:styleId="786" w:customStyle="1">
    <w:name w:val="ConstantTok"/>
    <w:basedOn w:val="775"/>
    <w:pPr>
      <w:pBdr/>
      <w:spacing/>
      <w:ind/>
    </w:pPr>
    <w:rPr>
      <w:color w:val="880000"/>
    </w:rPr>
  </w:style>
  <w:style w:type="character" w:styleId="787" w:customStyle="1">
    <w:name w:val="CharTok"/>
    <w:basedOn w:val="775"/>
    <w:pPr>
      <w:pBdr/>
      <w:spacing/>
      <w:ind/>
    </w:pPr>
    <w:rPr>
      <w:color w:val="4070a0"/>
    </w:rPr>
  </w:style>
  <w:style w:type="character" w:styleId="788" w:customStyle="1">
    <w:name w:val="SpecialCharTok"/>
    <w:basedOn w:val="775"/>
    <w:pPr>
      <w:pBdr/>
      <w:spacing/>
      <w:ind/>
    </w:pPr>
    <w:rPr>
      <w:color w:val="4070a0"/>
    </w:rPr>
  </w:style>
  <w:style w:type="character" w:styleId="789" w:customStyle="1">
    <w:name w:val="StringTok"/>
    <w:basedOn w:val="775"/>
    <w:pPr>
      <w:pBdr/>
      <w:spacing/>
      <w:ind/>
    </w:pPr>
    <w:rPr>
      <w:color w:val="4070a0"/>
    </w:rPr>
  </w:style>
  <w:style w:type="character" w:styleId="790" w:customStyle="1">
    <w:name w:val="VerbatimStringTok"/>
    <w:basedOn w:val="775"/>
    <w:pPr>
      <w:pBdr/>
      <w:spacing/>
      <w:ind/>
    </w:pPr>
    <w:rPr>
      <w:color w:val="4070a0"/>
    </w:rPr>
  </w:style>
  <w:style w:type="character" w:styleId="791" w:customStyle="1">
    <w:name w:val="SpecialStringTok"/>
    <w:basedOn w:val="775"/>
    <w:pPr>
      <w:pBdr/>
      <w:spacing/>
      <w:ind/>
    </w:pPr>
    <w:rPr>
      <w:color w:val="bb6688"/>
    </w:rPr>
  </w:style>
  <w:style w:type="character" w:styleId="792" w:customStyle="1">
    <w:name w:val="ImportTok"/>
    <w:basedOn w:val="775"/>
    <w:pPr>
      <w:pBdr/>
      <w:spacing/>
      <w:ind/>
    </w:pPr>
    <w:rPr>
      <w:b/>
      <w:color w:val="008000"/>
    </w:rPr>
  </w:style>
  <w:style w:type="character" w:styleId="793" w:customStyle="1">
    <w:name w:val="CommentTok"/>
    <w:basedOn w:val="775"/>
    <w:pPr>
      <w:pBdr/>
      <w:spacing/>
      <w:ind/>
    </w:pPr>
    <w:rPr>
      <w:i/>
      <w:color w:val="60a0b0"/>
    </w:rPr>
  </w:style>
  <w:style w:type="character" w:styleId="794" w:customStyle="1">
    <w:name w:val="DocumentationTok"/>
    <w:basedOn w:val="775"/>
    <w:pPr>
      <w:pBdr/>
      <w:spacing/>
      <w:ind/>
    </w:pPr>
    <w:rPr>
      <w:i/>
      <w:color w:val="ba2121"/>
    </w:rPr>
  </w:style>
  <w:style w:type="character" w:styleId="795" w:customStyle="1">
    <w:name w:val="AnnotationTok"/>
    <w:basedOn w:val="775"/>
    <w:pPr>
      <w:pBdr/>
      <w:spacing/>
      <w:ind/>
    </w:pPr>
    <w:rPr>
      <w:b/>
      <w:i/>
      <w:color w:val="60a0b0"/>
    </w:rPr>
  </w:style>
  <w:style w:type="character" w:styleId="796" w:customStyle="1">
    <w:name w:val="CommentVarTok"/>
    <w:basedOn w:val="775"/>
    <w:pPr>
      <w:pBdr/>
      <w:spacing/>
      <w:ind/>
    </w:pPr>
    <w:rPr>
      <w:b/>
      <w:i/>
      <w:color w:val="60a0b0"/>
    </w:rPr>
  </w:style>
  <w:style w:type="character" w:styleId="797" w:customStyle="1">
    <w:name w:val="OtherTok"/>
    <w:basedOn w:val="775"/>
    <w:pPr>
      <w:pBdr/>
      <w:spacing/>
      <w:ind/>
    </w:pPr>
    <w:rPr>
      <w:color w:val="007020"/>
    </w:rPr>
  </w:style>
  <w:style w:type="character" w:styleId="798" w:customStyle="1">
    <w:name w:val="FunctionTok"/>
    <w:basedOn w:val="775"/>
    <w:pPr>
      <w:pBdr/>
      <w:spacing/>
      <w:ind/>
    </w:pPr>
    <w:rPr>
      <w:color w:val="06287e"/>
    </w:rPr>
  </w:style>
  <w:style w:type="character" w:styleId="799" w:customStyle="1">
    <w:name w:val="VariableTok"/>
    <w:basedOn w:val="775"/>
    <w:pPr>
      <w:pBdr/>
      <w:spacing/>
      <w:ind/>
    </w:pPr>
    <w:rPr>
      <w:color w:val="19177c"/>
    </w:rPr>
  </w:style>
  <w:style w:type="character" w:styleId="800" w:customStyle="1">
    <w:name w:val="ControlFlowTok"/>
    <w:basedOn w:val="775"/>
    <w:pPr>
      <w:pBdr/>
      <w:spacing/>
      <w:ind/>
    </w:pPr>
    <w:rPr>
      <w:b/>
      <w:color w:val="007020"/>
    </w:rPr>
  </w:style>
  <w:style w:type="character" w:styleId="801" w:customStyle="1">
    <w:name w:val="OperatorTok"/>
    <w:basedOn w:val="775"/>
    <w:pPr>
      <w:pBdr/>
      <w:spacing/>
      <w:ind/>
    </w:pPr>
    <w:rPr>
      <w:color w:val="666666"/>
    </w:rPr>
  </w:style>
  <w:style w:type="character" w:styleId="802" w:customStyle="1">
    <w:name w:val="BuiltInTok"/>
    <w:basedOn w:val="775"/>
    <w:pPr>
      <w:pBdr/>
      <w:spacing/>
      <w:ind/>
    </w:pPr>
    <w:rPr>
      <w:color w:val="008000"/>
    </w:rPr>
  </w:style>
  <w:style w:type="character" w:styleId="803" w:customStyle="1">
    <w:name w:val="ExtensionTok"/>
    <w:basedOn w:val="775"/>
    <w:pPr>
      <w:pBdr/>
      <w:spacing/>
      <w:ind/>
    </w:pPr>
  </w:style>
  <w:style w:type="character" w:styleId="804" w:customStyle="1">
    <w:name w:val="PreprocessorTok"/>
    <w:basedOn w:val="775"/>
    <w:pPr>
      <w:pBdr/>
      <w:spacing/>
      <w:ind/>
    </w:pPr>
    <w:rPr>
      <w:color w:val="bc7a00"/>
    </w:rPr>
  </w:style>
  <w:style w:type="character" w:styleId="805" w:customStyle="1">
    <w:name w:val="AttributeTok"/>
    <w:basedOn w:val="775"/>
    <w:pPr>
      <w:pBdr/>
      <w:spacing/>
      <w:ind/>
    </w:pPr>
    <w:rPr>
      <w:color w:val="7d9029"/>
    </w:rPr>
  </w:style>
  <w:style w:type="character" w:styleId="806" w:customStyle="1">
    <w:name w:val="RegionMarkerTok"/>
    <w:basedOn w:val="775"/>
    <w:pPr>
      <w:pBdr/>
      <w:spacing/>
      <w:ind/>
    </w:pPr>
  </w:style>
  <w:style w:type="character" w:styleId="807" w:customStyle="1">
    <w:name w:val="InformationTok"/>
    <w:basedOn w:val="775"/>
    <w:pPr>
      <w:pBdr/>
      <w:spacing/>
      <w:ind/>
    </w:pPr>
    <w:rPr>
      <w:b/>
      <w:i/>
      <w:color w:val="60a0b0"/>
    </w:rPr>
  </w:style>
  <w:style w:type="character" w:styleId="808" w:customStyle="1">
    <w:name w:val="WarningTok"/>
    <w:basedOn w:val="775"/>
    <w:pPr>
      <w:pBdr/>
      <w:spacing/>
      <w:ind/>
    </w:pPr>
    <w:rPr>
      <w:b/>
      <w:i/>
      <w:color w:val="60a0b0"/>
    </w:rPr>
  </w:style>
  <w:style w:type="character" w:styleId="809" w:customStyle="1">
    <w:name w:val="AlertTok"/>
    <w:basedOn w:val="775"/>
    <w:pPr>
      <w:pBdr/>
      <w:spacing/>
      <w:ind/>
    </w:pPr>
    <w:rPr>
      <w:b/>
      <w:color w:val="ff0000"/>
    </w:rPr>
  </w:style>
  <w:style w:type="character" w:styleId="810" w:customStyle="1">
    <w:name w:val="ErrorTok"/>
    <w:basedOn w:val="775"/>
    <w:pPr>
      <w:pBdr/>
      <w:spacing/>
      <w:ind/>
    </w:pPr>
    <w:rPr>
      <w:b/>
      <w:color w:val="ff0000"/>
    </w:rPr>
  </w:style>
  <w:style w:type="character" w:styleId="811" w:customStyle="1">
    <w:name w:val="NormalTok"/>
    <w:basedOn w:val="77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xample.com" TargetMode="Externa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https://example.com" TargetMode="External"/><Relationship Id="rId12" Type="http://schemas.openxmlformats.org/officeDocument/2006/relationships/hyperlink" Target="https://zaproxy.org" TargetMode="External"/><Relationship Id="rId13" Type="http://schemas.openxmlformats.org/officeDocument/2006/relationships/hyperlink" Target="https://owasp.org/Top10/2021/" TargetMode="External"/><Relationship Id="rId14" Type="http://schemas.openxmlformats.org/officeDocument/2006/relationships/hyperlink" Target="https://www.nist.gov/publications/nist-cybersecurity-framework-csf-2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соответствии стандартам безопасности: Анализ веб-сайта example.com</dc:title>
  <dc:creator>Специалист по информационной безопасности</dc:creator>
  <cp:keywords/>
  <cp:revision>1</cp:revision>
  <dcterms:created xsi:type="dcterms:W3CDTF">2026-01-01T04:02:04Z</dcterms:created>
  <dcterms:modified xsi:type="dcterms:W3CDTF">2026-01-01T05:50:50Z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