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itle"/>
      </w:pPr>
      <w:r>
        <w:t xml:space="preserve">تقرير</w:t>
      </w:r>
      <w:r>
        <w:t xml:space="preserve"> </w:t>
      </w:r>
      <w:r>
        <w:t xml:space="preserve">الامتثال</w:t>
      </w:r>
      <w:r>
        <w:t xml:space="preserve"> </w:t>
      </w:r>
      <w:r>
        <w:t xml:space="preserve">لمعايير</w:t>
      </w:r>
      <w:r>
        <w:t xml:space="preserve"> </w:t>
      </w:r>
      <w:r>
        <w:t xml:space="preserve">الأمان:</w:t>
      </w:r>
      <w:r>
        <w:t xml:space="preserve"> </w:t>
      </w:r>
      <w:r>
        <w:t xml:space="preserve">تحليل</w:t>
      </w:r>
      <w:r>
        <w:t xml:space="preserve"> </w:t>
      </w:r>
      <w:r>
        <w:t xml:space="preserve">موقع</w:t>
      </w:r>
      <w:r>
        <w:t xml:space="preserve"> </w:t>
      </w:r>
      <w:r>
        <w:t xml:space="preserve">example.com</w:t>
      </w:r>
    </w:p>
    <w:p>
      <w:pPr>
        <w:pStyle w:val="Author"/>
      </w:pPr>
      <w:r>
        <w:t xml:space="preserve">أخصائي</w:t>
      </w:r>
      <w:r>
        <w:t xml:space="preserve"> </w:t>
      </w:r>
      <w:r>
        <w:t xml:space="preserve">أمن</w:t>
      </w:r>
      <w:r>
        <w:t xml:space="preserve"> </w:t>
      </w:r>
      <w:r>
        <w:t xml:space="preserve">المعلومات</w:t>
      </w:r>
    </w:p>
    <w:p>
      <w:pPr>
        <w:pStyle w:val="Date"/>
      </w:pPr>
      <w:r>
        <w:t xml:space="preserve">2025-12-31</w:t>
      </w:r>
    </w:p>
    <w:bookmarkStart w:id="21" w:name="الملخص-التنفيذي"/>
    <w:p>
      <w:pPr>
        <w:pStyle w:val="Heading1"/>
      </w:pPr>
      <w:r>
        <w:t xml:space="preserve">الملخص التنفيذي</w:t>
      </w:r>
    </w:p>
    <w:p>
      <w:pPr>
        <w:pStyle w:val="FirstParagraph"/>
      </w:pPr>
      <w:r>
        <w:t xml:space="preserve">يقدم هذا التقرير تحليلاً شاملاً لامتثال موقع</w:t>
      </w:r>
      <w:r>
        <w:t xml:space="preserve"> </w:t>
      </w:r>
      <w:hyperlink r:id="rId8">
        <w:r>
          <w:rPr>
            <w:rStyle w:val="Hyperlink"/>
          </w:rPr>
          <w:t xml:space="preserve">https://example.com</w:t>
        </w:r>
      </w:hyperlink>
      <w:r>
        <w:t xml:space="preserve"> </w:t>
      </w:r>
      <w:r>
        <w:t xml:space="preserve">للمعايير الدولية للأمان بما في ذلك OWASP Top 10 2021، وإطار عمل الأمن السيبراني NIST 2.0، وتوصيات Microsoft Security Baseline. يستند التحليل إلى نتائج المسح الأمني الآلي الذي تم تنفيذه في 30 ديسمبر 2025 باستخدام OWASP ZAP (Zed Attack Proxy) الإصدار 2.17.0 من Checkmarx.</w:t>
      </w:r>
    </w:p>
    <w:p>
      <w:pPr>
        <w:pStyle w:val="BlockText"/>
      </w:pPr>
      <w:r>
        <w:rPr>
          <w:b/>
          <w:bCs/>
        </w:rPr>
        <w:t xml:space="preserve">تحذير حرج</w:t>
      </w:r>
      <w:r>
        <w:t xml:space="preserve">: تم اكتشاف تسريب للمعلومات الشخصية (PII) - يتطلب تدخلاً فورياً!</w:t>
      </w:r>
    </w:p>
    <w:p>
      <w:pPr>
        <w:pStyle w:val="FirstParagraph"/>
      </w:pPr>
      <w:r>
        <w:rPr>
          <w:b/>
          <w:bCs/>
        </w:rPr>
        <w:t xml:space="preserve">النتائج الرئيسية:</w:t>
      </w:r>
    </w:p>
    <w:p>
      <w:pPr>
        <w:pStyle w:val="Compact"/>
        <w:numPr>
          <w:ilvl w:val="0"/>
          <w:numId w:val="1001"/>
        </w:numPr>
      </w:pPr>
      <w:r>
        <w:t xml:space="preserve">تم تحديد</w:t>
      </w:r>
      <w:r>
        <w:t xml:space="preserve"> </w:t>
      </w:r>
      <w:r>
        <w:rPr>
          <w:b/>
          <w:bCs/>
        </w:rPr>
        <w:t xml:space="preserve">29 تنبيهاً أمنياً</w:t>
      </w:r>
      <w:r>
        <w:t xml:space="preserve"> </w:t>
      </w:r>
      <w:r>
        <w:t xml:space="preserve">عبر مستويات خطورة مختلفة</w:t>
      </w:r>
    </w:p>
    <w:p>
      <w:pPr>
        <w:pStyle w:val="Compact"/>
        <w:numPr>
          <w:ilvl w:val="0"/>
          <w:numId w:val="1001"/>
        </w:numPr>
      </w:pPr>
      <w:r>
        <w:t xml:space="preserve">تم اكتشاف</w:t>
      </w:r>
      <w:r>
        <w:t xml:space="preserve"> </w:t>
      </w:r>
      <w:r>
        <w:rPr>
          <w:b/>
          <w:bCs/>
        </w:rPr>
        <w:t xml:space="preserve">ثغرة أمنية حرجة</w:t>
      </w:r>
      <w:r>
        <w:t xml:space="preserve"> </w:t>
      </w:r>
      <w:r>
        <w:t xml:space="preserve">في تسريب المعلومات الشخصية (PII)</w:t>
      </w:r>
    </w:p>
    <w:p>
      <w:pPr>
        <w:pStyle w:val="Compact"/>
        <w:numPr>
          <w:ilvl w:val="0"/>
          <w:numId w:val="1001"/>
        </w:numPr>
      </w:pPr>
      <w:r>
        <w:rPr>
          <w:b/>
          <w:bCs/>
        </w:rPr>
        <w:t xml:space="preserve">غياب آليات الحماية الأساسية</w:t>
      </w:r>
      <w:r>
        <w:t xml:space="preserve"> </w:t>
      </w:r>
      <w:r>
        <w:t xml:space="preserve">لتطبيق الويب</w:t>
      </w:r>
    </w:p>
    <w:p>
      <w:pPr>
        <w:pStyle w:val="Compact"/>
        <w:numPr>
          <w:ilvl w:val="0"/>
          <w:numId w:val="1001"/>
        </w:numPr>
      </w:pPr>
      <w:r>
        <w:t xml:space="preserve">الموقع</w:t>
      </w:r>
      <w:r>
        <w:t xml:space="preserve"> </w:t>
      </w:r>
      <w:r>
        <w:rPr>
          <w:b/>
          <w:bCs/>
        </w:rPr>
        <w:t xml:space="preserve">غير متوافق</w:t>
      </w:r>
      <w:r>
        <w:t xml:space="preserve"> </w:t>
      </w:r>
      <w:r>
        <w:t xml:space="preserve">مع المتطلبات الأساسية للمعايير الدولية للأمان</w:t>
      </w:r>
    </w:p>
    <w:bookmarkEnd w:id="21"/>
    <w:bookmarkStart w:id="22" w:name="جدول-المحتويات"/>
    <w:p>
      <w:pPr>
        <w:pStyle w:val="Heading1"/>
      </w:pPr>
      <w:r>
        <w:t xml:space="preserve">جدول المحتويات</w:t>
      </w:r>
    </w:p>
    <w:p>
      <w:pPr>
        <w:pStyle w:val="Compact"/>
        <w:numPr>
          <w:ilvl w:val="0"/>
          <w:numId w:val="1002"/>
        </w:numPr>
      </w:pPr>
      <w:hyperlink w:anchor="منهجية-التحليل">
        <w:r>
          <w:rPr>
            <w:rStyle w:val="Hyperlink"/>
          </w:rPr>
          <w:t xml:space="preserve">منهجية التحليل</w:t>
        </w:r>
      </w:hyperlink>
    </w:p>
    <w:p>
      <w:pPr>
        <w:pStyle w:val="Compact"/>
        <w:numPr>
          <w:ilvl w:val="0"/>
          <w:numId w:val="1002"/>
        </w:numPr>
      </w:pPr>
      <w:hyperlink w:anchor="التحليل-التفصيلي-للثغرات-الأمنية">
        <w:r>
          <w:rPr>
            <w:rStyle w:val="Hyperlink"/>
          </w:rPr>
          <w:t xml:space="preserve">التحليل التفصيلي للثغرات الأمنية</w:t>
        </w:r>
      </w:hyperlink>
    </w:p>
    <w:p>
      <w:pPr>
        <w:pStyle w:val="Compact"/>
        <w:numPr>
          <w:ilvl w:val="0"/>
          <w:numId w:val="1002"/>
        </w:numPr>
      </w:pPr>
      <w:hyperlink w:anchor="تحليل-الامتثال-لـ-owasp-top-10-2021">
        <w:r>
          <w:rPr>
            <w:rStyle w:val="Hyperlink"/>
          </w:rPr>
          <w:t xml:space="preserve">تحليل الامتثال لـ OWASP Top 10 2021</w:t>
        </w:r>
      </w:hyperlink>
    </w:p>
    <w:p>
      <w:pPr>
        <w:pStyle w:val="Compact"/>
        <w:numPr>
          <w:ilvl w:val="0"/>
          <w:numId w:val="1002"/>
        </w:numPr>
      </w:pPr>
      <w:hyperlink w:anchor="X411e6e77259e3fa925e4fd00f31aafb4b1281f4">
        <w:r>
          <w:rPr>
            <w:rStyle w:val="Hyperlink"/>
          </w:rPr>
          <w:t xml:space="preserve">الامتثال لإطار عمل NIST للأمن السيبراني 2.0</w:t>
        </w:r>
      </w:hyperlink>
    </w:p>
    <w:p>
      <w:pPr>
        <w:pStyle w:val="Compact"/>
        <w:numPr>
          <w:ilvl w:val="0"/>
          <w:numId w:val="1002"/>
        </w:numPr>
      </w:pPr>
      <w:hyperlink w:anchor="Xc5fb5ad587cd8a67d3e15b8d9c820a940d7d5cb">
        <w:r>
          <w:rPr>
            <w:rStyle w:val="Hyperlink"/>
          </w:rPr>
          <w:t xml:space="preserve">الامتثال لمعايير Microsoft Security Baseline</w:t>
        </w:r>
      </w:hyperlink>
    </w:p>
    <w:p>
      <w:pPr>
        <w:pStyle w:val="Compact"/>
        <w:numPr>
          <w:ilvl w:val="0"/>
          <w:numId w:val="1002"/>
        </w:numPr>
      </w:pPr>
      <w:hyperlink w:anchor="خطة-معالجة-الثغرات-الأمنية">
        <w:r>
          <w:rPr>
            <w:rStyle w:val="Hyperlink"/>
          </w:rPr>
          <w:t xml:space="preserve">خطة معالجة الثغرات الأمنية</w:t>
        </w:r>
      </w:hyperlink>
    </w:p>
    <w:p>
      <w:pPr>
        <w:pStyle w:val="Compact"/>
        <w:numPr>
          <w:ilvl w:val="0"/>
          <w:numId w:val="1002"/>
        </w:numPr>
      </w:pPr>
      <w:hyperlink w:anchor="الخلاصة">
        <w:r>
          <w:rPr>
            <w:rStyle w:val="Hyperlink"/>
          </w:rPr>
          <w:t xml:space="preserve">الخلاصة</w:t>
        </w:r>
      </w:hyperlink>
    </w:p>
    <w:bookmarkEnd w:id="22"/>
    <w:bookmarkStart w:id="26" w:name="منهجية-التحليل"/>
    <w:p>
      <w:pPr>
        <w:pStyle w:val="Heading1"/>
      </w:pPr>
      <w:r>
        <w:t xml:space="preserve">منهجية التحليل</w:t>
      </w:r>
    </w:p>
    <w:bookmarkStart w:id="23" w:name="معاملات-المسح"/>
    <w:p>
      <w:pPr>
        <w:pStyle w:val="Heading2"/>
      </w:pPr>
      <w:r>
        <w:t xml:space="preserve">معاملات المسح</w:t>
      </w:r>
    </w:p>
    <w:p>
      <w:pPr>
        <w:pStyle w:val="Compact"/>
        <w:numPr>
          <w:ilvl w:val="0"/>
          <w:numId w:val="1003"/>
        </w:numPr>
      </w:pPr>
      <w:r>
        <w:rPr>
          <w:b/>
          <w:bCs/>
        </w:rPr>
        <w:t xml:space="preserve">الأداة</w:t>
      </w:r>
      <w:r>
        <w:t xml:space="preserve">: OWASP ZAP 2.17.0 من Checkmarx</w:t>
      </w:r>
      <w:r>
        <w:t xml:space="preserve"> </w:t>
      </w:r>
      <w:hyperlink w:anchor="ref-1">
        <w:r>
          <w:rPr>
            <w:rStyle w:val="Hyperlink"/>
          </w:rPr>
          <w:t xml:space="preserve">[1]</w:t>
        </w:r>
      </w:hyperlink>
    </w:p>
    <w:p>
      <w:pPr>
        <w:pStyle w:val="Compact"/>
        <w:numPr>
          <w:ilvl w:val="0"/>
          <w:numId w:val="1003"/>
        </w:numPr>
      </w:pPr>
      <w:r>
        <w:rPr>
          <w:b/>
          <w:bCs/>
        </w:rPr>
        <w:t xml:space="preserve">تاريخ ووقت المسح</w:t>
      </w:r>
      <w:r>
        <w:t xml:space="preserve">: 30 ديسمبر 2025، 19:00:53</w:t>
      </w:r>
    </w:p>
    <w:p>
      <w:pPr>
        <w:pStyle w:val="Compact"/>
        <w:numPr>
          <w:ilvl w:val="0"/>
          <w:numId w:val="1003"/>
        </w:numPr>
      </w:pPr>
      <w:r>
        <w:rPr>
          <w:b/>
          <w:bCs/>
        </w:rPr>
        <w:t xml:space="preserve">المورد المستهدف</w:t>
      </w:r>
      <w:r>
        <w:t xml:space="preserve">:</w:t>
      </w:r>
      <w:r>
        <w:t xml:space="preserve"> </w:t>
      </w:r>
      <w:hyperlink r:id="rId9">
        <w:r>
          <w:rPr>
            <w:rStyle w:val="Hyperlink"/>
          </w:rPr>
          <w:t xml:space="preserve">https://example.com</w:t>
        </w:r>
      </w:hyperlink>
    </w:p>
    <w:p>
      <w:pPr>
        <w:pStyle w:val="Compact"/>
        <w:numPr>
          <w:ilvl w:val="0"/>
          <w:numId w:val="1003"/>
        </w:numPr>
      </w:pPr>
      <w:r>
        <w:rPr>
          <w:b/>
          <w:bCs/>
        </w:rPr>
        <w:t xml:space="preserve">إجمالي نقاط النهاية</w:t>
      </w:r>
      <w:r>
        <w:t xml:space="preserve">: 290</w:t>
      </w:r>
    </w:p>
    <w:p>
      <w:pPr>
        <w:pStyle w:val="Compact"/>
        <w:numPr>
          <w:ilvl w:val="0"/>
          <w:numId w:val="1003"/>
        </w:numPr>
      </w:pPr>
      <w:r>
        <w:rPr>
          <w:b/>
          <w:bCs/>
        </w:rPr>
        <w:t xml:space="preserve">السياقات</w:t>
      </w:r>
      <w:r>
        <w:t xml:space="preserve">: جميع السياقات مشمولة افتراضياً</w:t>
      </w:r>
    </w:p>
    <w:p>
      <w:pPr>
        <w:pStyle w:val="Compact"/>
        <w:numPr>
          <w:ilvl w:val="0"/>
          <w:numId w:val="1003"/>
        </w:numPr>
      </w:pPr>
      <w:r>
        <w:rPr>
          <w:b/>
          <w:bCs/>
        </w:rPr>
        <w:t xml:space="preserve">مستويات المخاطر</w:t>
      </w:r>
      <w:r>
        <w:t xml:space="preserve">: عالي، متوسط، منخفض، معلوماتي</w:t>
      </w:r>
    </w:p>
    <w:p>
      <w:pPr>
        <w:pStyle w:val="Compact"/>
        <w:numPr>
          <w:ilvl w:val="0"/>
          <w:numId w:val="1003"/>
        </w:numPr>
      </w:pPr>
      <w:r>
        <w:rPr>
          <w:b/>
          <w:bCs/>
        </w:rPr>
        <w:t xml:space="preserve">مستويات الثقة</w:t>
      </w:r>
      <w:r>
        <w:t xml:space="preserve">: مؤكد من المستخدم، عالي، متوسط، منخفض</w:t>
      </w:r>
    </w:p>
    <w:bookmarkEnd w:id="23"/>
    <w:bookmarkStart w:id="24" w:name="إحصائيات-نتائج-المسح"/>
    <w:p>
      <w:pPr>
        <w:pStyle w:val="Heading2"/>
      </w:pPr>
      <w:r>
        <w:t xml:space="preserve">إحصائيات نتائج المسح</w:t>
      </w:r>
    </w:p>
    <w:tbl>
      <w:tblPr>
        <w:tblStyle w:val="Table"/>
        <w:tblW w:w="0" w:type="auto"/>
        <w:tblLook w:val="0020" w:firstRow="1" w:lastRow="0" w:firstColumn="0" w:lastColumn="0" w:noHBand="0" w:noVBand="0"/>
      </w:tblPr>
      <w:tblGrid>
        <w:gridCol w:w="1980"/>
        <w:gridCol w:w="1980"/>
        <w:gridCol w:w="1980"/>
        <w:gridCol w:w="1980"/>
      </w:tblGrid>
      <w:tr>
        <w:trPr>
          <w:tblHeader/>
        </w:trPr>
        <w:tc>
          <w:tcPr/>
          <w:p>
            <w:pPr>
              <w:pStyle w:val="Compact"/>
              <w:jc w:val="left"/>
            </w:pPr>
            <w:r>
              <w:t xml:space="preserve">مستوى المخاطر</w:t>
            </w:r>
          </w:p>
        </w:tc>
        <w:tc>
          <w:tcPr/>
          <w:p>
            <w:pPr>
              <w:pStyle w:val="Compact"/>
              <w:jc w:val="left"/>
            </w:pPr>
            <w:r>
              <w:t xml:space="preserve">العدد</w:t>
            </w:r>
          </w:p>
        </w:tc>
        <w:tc>
          <w:tcPr/>
          <w:p>
            <w:pPr>
              <w:pStyle w:val="Compact"/>
              <w:jc w:val="left"/>
            </w:pPr>
            <w:r>
              <w:t xml:space="preserve">النسبة المئوية</w:t>
            </w:r>
          </w:p>
        </w:tc>
        <w:tc>
          <w:tcPr/>
          <w:p>
            <w:pPr>
              <w:pStyle w:val="Compact"/>
              <w:jc w:val="left"/>
            </w:pPr>
            <w:r>
              <w:t xml:space="preserve">مستوى الثقة</w:t>
            </w:r>
          </w:p>
        </w:tc>
      </w:tr>
      <w:tr>
        <w:tc>
          <w:tcPr/>
          <w:p>
            <w:pPr>
              <w:pStyle w:val="Compact"/>
              <w:jc w:val="left"/>
            </w:pPr>
            <w:r>
              <w:rPr>
                <w:b/>
                <w:bCs/>
              </w:rPr>
              <w:t xml:space="preserve">🔴 عالي</w:t>
            </w:r>
          </w:p>
        </w:tc>
        <w:tc>
          <w:tcPr/>
          <w:p>
            <w:pPr>
              <w:pStyle w:val="Compact"/>
              <w:jc w:val="left"/>
            </w:pPr>
            <w:r>
              <w:t xml:space="preserve">1</w:t>
            </w:r>
          </w:p>
        </w:tc>
        <w:tc>
          <w:tcPr/>
          <w:p>
            <w:pPr>
              <w:pStyle w:val="Compact"/>
              <w:jc w:val="left"/>
            </w:pPr>
            <w:r>
              <w:t xml:space="preserve">3.4%</w:t>
            </w:r>
          </w:p>
        </w:tc>
        <w:tc>
          <w:tcPr/>
          <w:p>
            <w:pPr>
              <w:pStyle w:val="Compact"/>
              <w:jc w:val="left"/>
            </w:pPr>
            <w:r>
              <w:t xml:space="preserve">عالي</w:t>
            </w:r>
          </w:p>
        </w:tc>
      </w:tr>
      <w:tr>
        <w:tc>
          <w:tcPr/>
          <w:p>
            <w:pPr>
              <w:pStyle w:val="Compact"/>
              <w:jc w:val="left"/>
            </w:pPr>
            <w:r>
              <w:rPr>
                <w:b/>
                <w:bCs/>
              </w:rPr>
              <w:t xml:space="preserve">🟡 متوسط</w:t>
            </w:r>
          </w:p>
        </w:tc>
        <w:tc>
          <w:tcPr/>
          <w:p>
            <w:pPr>
              <w:pStyle w:val="Compact"/>
              <w:jc w:val="left"/>
            </w:pPr>
            <w:r>
              <w:t xml:space="preserve">3</w:t>
            </w:r>
          </w:p>
        </w:tc>
        <w:tc>
          <w:tcPr/>
          <w:p>
            <w:pPr>
              <w:pStyle w:val="Compact"/>
              <w:jc w:val="left"/>
            </w:pPr>
            <w:r>
              <w:t xml:space="preserve">10.3%</w:t>
            </w:r>
          </w:p>
        </w:tc>
        <w:tc>
          <w:tcPr/>
          <w:p>
            <w:pPr>
              <w:pStyle w:val="Compact"/>
              <w:jc w:val="left"/>
            </w:pPr>
            <w:r>
              <w:t xml:space="preserve">عالي/متوسط</w:t>
            </w:r>
          </w:p>
        </w:tc>
      </w:tr>
      <w:tr>
        <w:tc>
          <w:tcPr/>
          <w:p>
            <w:pPr>
              <w:pStyle w:val="Compact"/>
              <w:jc w:val="left"/>
            </w:pPr>
            <w:r>
              <w:rPr>
                <w:b/>
                <w:bCs/>
              </w:rPr>
              <w:t xml:space="preserve">🔵 منخفض</w:t>
            </w:r>
          </w:p>
        </w:tc>
        <w:tc>
          <w:tcPr/>
          <w:p>
            <w:pPr>
              <w:pStyle w:val="Compact"/>
              <w:jc w:val="left"/>
            </w:pPr>
            <w:r>
              <w:t xml:space="preserve">4</w:t>
            </w:r>
          </w:p>
        </w:tc>
        <w:tc>
          <w:tcPr/>
          <w:p>
            <w:pPr>
              <w:pStyle w:val="Compact"/>
              <w:jc w:val="left"/>
            </w:pPr>
            <w:r>
              <w:t xml:space="preserve">13.8%</w:t>
            </w:r>
          </w:p>
        </w:tc>
        <w:tc>
          <w:tcPr/>
          <w:p>
            <w:pPr>
              <w:pStyle w:val="Compact"/>
              <w:jc w:val="left"/>
            </w:pPr>
            <w:r>
              <w:t xml:space="preserve">عالي/متوسط/منخفض</w:t>
            </w:r>
          </w:p>
        </w:tc>
      </w:tr>
      <w:tr>
        <w:tc>
          <w:tcPr/>
          <w:p>
            <w:pPr>
              <w:pStyle w:val="Compact"/>
              <w:jc w:val="left"/>
            </w:pPr>
            <w:r>
              <w:rPr>
                <w:b/>
                <w:bCs/>
              </w:rPr>
              <w:t xml:space="preserve">ℹ️ معلوماتي</w:t>
            </w:r>
          </w:p>
        </w:tc>
        <w:tc>
          <w:tcPr/>
          <w:p>
            <w:pPr>
              <w:pStyle w:val="Compact"/>
              <w:jc w:val="left"/>
            </w:pPr>
            <w:r>
              <w:t xml:space="preserve">21</w:t>
            </w:r>
          </w:p>
        </w:tc>
        <w:tc>
          <w:tcPr/>
          <w:p>
            <w:pPr>
              <w:pStyle w:val="Compact"/>
              <w:jc w:val="left"/>
            </w:pPr>
            <w:r>
              <w:t xml:space="preserve">72.4%</w:t>
            </w:r>
          </w:p>
        </w:tc>
        <w:tc>
          <w:tcPr/>
          <w:p>
            <w:pPr>
              <w:pStyle w:val="Compact"/>
              <w:jc w:val="left"/>
            </w:pPr>
            <w:r>
              <w:t xml:space="preserve">متوسط/منخفض</w:t>
            </w:r>
          </w:p>
        </w:tc>
      </w:tr>
      <w:tr>
        <w:tc>
          <w:tcPr/>
          <w:p>
            <w:pPr>
              <w:pStyle w:val="Compact"/>
              <w:jc w:val="left"/>
            </w:pPr>
            <w:r>
              <w:rPr>
                <w:b/>
                <w:bCs/>
              </w:rPr>
              <w:t xml:space="preserve">المجموع</w:t>
            </w:r>
          </w:p>
        </w:tc>
        <w:tc>
          <w:tcPr/>
          <w:p>
            <w:pPr>
              <w:pStyle w:val="Compact"/>
              <w:jc w:val="left"/>
            </w:pPr>
            <w:r>
              <w:rPr>
                <w:b/>
                <w:bCs/>
              </w:rPr>
              <w:t xml:space="preserve">29</w:t>
            </w:r>
          </w:p>
        </w:tc>
        <w:tc>
          <w:tcPr/>
          <w:p>
            <w:pPr>
              <w:pStyle w:val="Compact"/>
              <w:jc w:val="left"/>
            </w:pPr>
            <w:r>
              <w:rPr>
                <w:b/>
                <w:bCs/>
              </w:rPr>
              <w:t xml:space="preserve">100%</w:t>
            </w:r>
          </w:p>
        </w:tc>
        <w:tc>
          <w:tcPr/>
          <w:p>
            <w:pPr>
              <w:pStyle w:val="Compact"/>
              <w:jc w:val="left"/>
            </w:pPr>
            <w:r>
              <w:t xml:space="preserve">-</w:t>
            </w:r>
          </w:p>
        </w:tc>
      </w:tr>
    </w:tbl>
    <w:bookmarkEnd w:id="24"/>
    <w:bookmarkStart w:id="25" w:name="المكدس-التقني"/>
    <w:p>
      <w:pPr>
        <w:pStyle w:val="Heading2"/>
      </w:pPr>
      <w:r>
        <w:t xml:space="preserve">المكدس التقني</w:t>
      </w:r>
    </w:p>
    <w:p>
      <w:pPr>
        <w:pStyle w:val="FirstParagraph"/>
      </w:pPr>
      <w:r>
        <w:t xml:space="preserve">التقنيات المكتشفة على الموقع:</w:t>
      </w:r>
    </w:p>
    <w:p>
      <w:pPr>
        <w:pStyle w:val="Compact"/>
        <w:numPr>
          <w:ilvl w:val="0"/>
          <w:numId w:val="1004"/>
        </w:numPr>
      </w:pPr>
      <w:r>
        <w:rPr>
          <w:b/>
          <w:bCs/>
        </w:rPr>
        <w:t xml:space="preserve">نظام إدارة المحتوى</w:t>
      </w:r>
      <w:r>
        <w:t xml:space="preserve">: WordPress مع Block Editor</w:t>
      </w:r>
    </w:p>
    <w:p>
      <w:pPr>
        <w:pStyle w:val="Compact"/>
        <w:numPr>
          <w:ilvl w:val="0"/>
          <w:numId w:val="1004"/>
        </w:numPr>
      </w:pPr>
      <w:r>
        <w:rPr>
          <w:b/>
          <w:bCs/>
        </w:rPr>
        <w:t xml:space="preserve">خادم الويب</w:t>
      </w:r>
      <w:r>
        <w:t xml:space="preserve">: LiteSpeed مع LiteSpeed Cache</w:t>
      </w:r>
    </w:p>
    <w:p>
      <w:pPr>
        <w:pStyle w:val="Compact"/>
        <w:numPr>
          <w:ilvl w:val="0"/>
          <w:numId w:val="1004"/>
        </w:numPr>
      </w:pPr>
      <w:r>
        <w:rPr>
          <w:b/>
          <w:bCs/>
        </w:rPr>
        <w:t xml:space="preserve">شبكة توصيل المحتوى</w:t>
      </w:r>
      <w:r>
        <w:t xml:space="preserve">: Cloudflare مع Browser Insights</w:t>
      </w:r>
    </w:p>
    <w:p>
      <w:pPr>
        <w:pStyle w:val="Compact"/>
        <w:numPr>
          <w:ilvl w:val="0"/>
          <w:numId w:val="1004"/>
        </w:numPr>
      </w:pPr>
      <w:r>
        <w:rPr>
          <w:b/>
          <w:bCs/>
        </w:rPr>
        <w:t xml:space="preserve">لغة البرمجة</w:t>
      </w:r>
      <w:r>
        <w:t xml:space="preserve">: PHP</w:t>
      </w:r>
    </w:p>
    <w:p>
      <w:pPr>
        <w:pStyle w:val="Compact"/>
        <w:numPr>
          <w:ilvl w:val="0"/>
          <w:numId w:val="1004"/>
        </w:numPr>
      </w:pPr>
      <w:r>
        <w:rPr>
          <w:b/>
          <w:bCs/>
        </w:rPr>
        <w:t xml:space="preserve">المكونات الإضافية</w:t>
      </w:r>
      <w:r>
        <w:t xml:space="preserve">:</w:t>
      </w:r>
    </w:p>
    <w:p>
      <w:pPr>
        <w:pStyle w:val="Compact"/>
        <w:numPr>
          <w:ilvl w:val="1"/>
          <w:numId w:val="1005"/>
        </w:numPr>
      </w:pPr>
      <w:r>
        <w:t xml:space="preserve">Blocksy (قالب WordPress)</w:t>
      </w:r>
    </w:p>
    <w:p>
      <w:pPr>
        <w:pStyle w:val="Compact"/>
        <w:numPr>
          <w:ilvl w:val="1"/>
          <w:numId w:val="1005"/>
        </w:numPr>
      </w:pPr>
      <w:r>
        <w:t xml:space="preserve">Stackable (إضافة WordPress)</w:t>
      </w:r>
    </w:p>
    <w:p>
      <w:pPr>
        <w:pStyle w:val="Compact"/>
        <w:numPr>
          <w:ilvl w:val="1"/>
          <w:numId w:val="1005"/>
        </w:numPr>
      </w:pPr>
      <w:r>
        <w:t xml:space="preserve">Gravatar (خدمة الصور الرمزية)</w:t>
      </w:r>
    </w:p>
    <w:p>
      <w:pPr>
        <w:pStyle w:val="Compact"/>
        <w:numPr>
          <w:ilvl w:val="1"/>
          <w:numId w:val="1005"/>
        </w:numPr>
      </w:pPr>
      <w:r>
        <w:t xml:space="preserve">Google Font API</w:t>
      </w:r>
    </w:p>
    <w:p>
      <w:pPr>
        <w:pStyle w:val="Compact"/>
        <w:numPr>
          <w:ilvl w:val="0"/>
          <w:numId w:val="1004"/>
        </w:numPr>
      </w:pPr>
      <w:r>
        <w:rPr>
          <w:b/>
          <w:bCs/>
        </w:rPr>
        <w:t xml:space="preserve">البروتوكولات</w:t>
      </w:r>
      <w:r>
        <w:t xml:space="preserve">: HTTP/3، HSTS، RSS، Priority Hints</w:t>
      </w:r>
    </w:p>
    <w:bookmarkEnd w:id="25"/>
    <w:bookmarkEnd w:id="26"/>
    <w:bookmarkStart w:id="38" w:name="التحليل-التفصيلي-للثغرات-الأمنية"/>
    <w:p>
      <w:pPr>
        <w:pStyle w:val="Heading1"/>
      </w:pPr>
      <w:r>
        <w:t xml:space="preserve">التحليل التفصيلي للثغرات الأمنية</w:t>
      </w:r>
    </w:p>
    <w:bookmarkStart w:id="28" w:name="red_circle-الثغرات-الحرجة-مخاطر-عالية"/>
    <w:p>
      <w:pPr>
        <w:pStyle w:val="Heading2"/>
      </w:pPr>
      <w:r>
        <w:t xml:space="preserve">🔴 الثغرات الحرجة (مخاطر عالية)</w:t>
      </w:r>
    </w:p>
    <w:bookmarkStart w:id="27" w:name="Xa56057502d01b89bc1a3c0c162aabebf184eb6f"/>
    <w:p>
      <w:pPr>
        <w:pStyle w:val="Heading3"/>
      </w:pPr>
      <w:r>
        <w:t xml:space="preserve">1. تسريب المعلومات الشخصية (PII)</w:t>
      </w:r>
    </w:p>
    <w:p>
      <w:pPr>
        <w:pStyle w:val="FirstParagraph"/>
      </w:pPr>
      <w:r>
        <w:rPr>
          <w:b/>
          <w:bCs/>
        </w:rPr>
        <w:t xml:space="preserve">CWE-359 | WASC-13 | مستوى الثقة: عالي</w:t>
      </w:r>
    </w:p>
    <w:p>
      <w:pPr>
        <w:pStyle w:val="BlockText"/>
      </w:pPr>
      <w:r>
        <w:rPr>
          <w:b/>
          <w:bCs/>
        </w:rPr>
        <w:t xml:space="preserve">انتهاك حرج</w:t>
      </w:r>
      <w:r>
        <w:t xml:space="preserve">: تم اكتشاف تسريب للبيانات الشخصية للمستخدمين</w:t>
      </w:r>
    </w:p>
    <w:p>
      <w:pPr>
        <w:pStyle w:val="FirstParagraph"/>
      </w:pPr>
      <w:r>
        <w:rPr>
          <w:b/>
          <w:bCs/>
        </w:rPr>
        <w:t xml:space="preserve">الوصف التقني:</w:t>
      </w:r>
    </w:p>
    <w:p>
      <w:pPr>
        <w:pStyle w:val="Compact"/>
        <w:numPr>
          <w:ilvl w:val="0"/>
          <w:numId w:val="1006"/>
        </w:numPr>
      </w:pPr>
      <w:r>
        <w:t xml:space="preserve">المعلومات الشخصية للمستخدمين متاحة دون تفويض</w:t>
      </w:r>
    </w:p>
    <w:p>
      <w:pPr>
        <w:pStyle w:val="Compact"/>
        <w:numPr>
          <w:ilvl w:val="0"/>
          <w:numId w:val="1006"/>
        </w:numPr>
      </w:pPr>
      <w:r>
        <w:t xml:space="preserve">انتهاك لمبادئ سرية البيانات</w:t>
      </w:r>
    </w:p>
    <w:p>
      <w:pPr>
        <w:pStyle w:val="Compact"/>
        <w:numPr>
          <w:ilvl w:val="0"/>
          <w:numId w:val="1006"/>
        </w:numPr>
      </w:pPr>
      <w:r>
        <w:t xml:space="preserve">انتهاك مباشر لمتطلبات GDPR</w:t>
      </w:r>
    </w:p>
    <w:p>
      <w:pPr>
        <w:pStyle w:val="FirstParagraph"/>
      </w:pPr>
      <w:r>
        <w:rPr>
          <w:b/>
          <w:bCs/>
        </w:rPr>
        <w:t xml:space="preserve">التأثير على الأعمال:</w:t>
      </w:r>
    </w:p>
    <w:p>
      <w:pPr>
        <w:pStyle w:val="Compact"/>
        <w:numPr>
          <w:ilvl w:val="0"/>
          <w:numId w:val="1007"/>
        </w:numPr>
      </w:pPr>
      <w:r>
        <w:rPr>
          <w:b/>
          <w:bCs/>
        </w:rPr>
        <w:t xml:space="preserve">المخاطر التنظيمية</w:t>
      </w:r>
      <w:r>
        <w:t xml:space="preserve">: غرامات GDPR تصل إلى 4% من الإيرادات السنوية للشركة</w:t>
      </w:r>
    </w:p>
    <w:p>
      <w:pPr>
        <w:pStyle w:val="Compact"/>
        <w:numPr>
          <w:ilvl w:val="0"/>
          <w:numId w:val="1007"/>
        </w:numPr>
      </w:pPr>
      <w:r>
        <w:rPr>
          <w:b/>
          <w:bCs/>
        </w:rPr>
        <w:t xml:space="preserve">الأضرار السمعية</w:t>
      </w:r>
      <w:r>
        <w:t xml:space="preserve">: ضرر جسيم لثقة العملاء</w:t>
      </w:r>
    </w:p>
    <w:p>
      <w:pPr>
        <w:pStyle w:val="Compact"/>
        <w:numPr>
          <w:ilvl w:val="0"/>
          <w:numId w:val="1007"/>
        </w:numPr>
      </w:pPr>
      <w:r>
        <w:rPr>
          <w:b/>
          <w:bCs/>
        </w:rPr>
        <w:t xml:space="preserve">العواقب القانونية</w:t>
      </w:r>
      <w:r>
        <w:t xml:space="preserve">: دعاوى قضائية محتملة من المتضررين</w:t>
      </w:r>
    </w:p>
    <w:p>
      <w:pPr>
        <w:pStyle w:val="Compact"/>
        <w:numPr>
          <w:ilvl w:val="0"/>
          <w:numId w:val="1007"/>
        </w:numPr>
      </w:pPr>
      <w:r>
        <w:rPr>
          <w:b/>
          <w:bCs/>
        </w:rPr>
        <w:t xml:space="preserve">المخاطر التشغيلية</w:t>
      </w:r>
      <w:r>
        <w:t xml:space="preserve">: ضرورة إخطار الجهات التنظيمية خلال 72 ساعة</w:t>
      </w:r>
    </w:p>
    <w:bookmarkEnd w:id="27"/>
    <w:bookmarkEnd w:id="28"/>
    <w:bookmarkStart w:id="32" w:name="yellow_circle-الثغرات-متوسطة-المخاطر"/>
    <w:p>
      <w:pPr>
        <w:pStyle w:val="Heading2"/>
      </w:pPr>
      <w:r>
        <w:t xml:space="preserve">🟡 الثغرات متوسطة المخاطر</w:t>
      </w:r>
    </w:p>
    <w:bookmarkStart w:id="29" w:name="X9727bd5b88ff7c0c6a5bb788797cd80556ace53"/>
    <w:p>
      <w:pPr>
        <w:pStyle w:val="Heading3"/>
      </w:pPr>
      <w:r>
        <w:t xml:space="preserve">2. غياب Subresource Integrity (SRI)</w:t>
      </w:r>
    </w:p>
    <w:p>
      <w:pPr>
        <w:pStyle w:val="FirstParagraph"/>
      </w:pPr>
      <w:r>
        <w:rPr>
          <w:b/>
          <w:bCs/>
        </w:rPr>
        <w:t xml:space="preserve">CWE-345 | WASC-15 | العدد: 5 حالات | مستوى الثقة: عالي</w:t>
      </w:r>
    </w:p>
    <w:p>
      <w:pPr>
        <w:pStyle w:val="BodyText"/>
      </w:pPr>
      <w:r>
        <w:rPr>
          <w:b/>
          <w:bCs/>
        </w:rPr>
        <w:t xml:space="preserve">الوصف:</w:t>
      </w:r>
      <w:r>
        <w:t xml:space="preserve"> </w:t>
      </w:r>
      <w:r>
        <w:t xml:space="preserve">تحميل الموارد الخارجية دون التحقق من سلامتها، مما يخلق مخاطر هجمات سلسلة التوريد.</w:t>
      </w:r>
    </w:p>
    <w:p>
      <w:pPr>
        <w:pStyle w:val="BodyText"/>
      </w:pPr>
      <w:r>
        <w:rPr>
          <w:b/>
          <w:bCs/>
        </w:rPr>
        <w:t xml:space="preserve">الموارد المتأثرة:</w:t>
      </w:r>
    </w:p>
    <w:p>
      <w:pPr>
        <w:pStyle w:val="Compact"/>
        <w:numPr>
          <w:ilvl w:val="0"/>
          <w:numId w:val="1008"/>
        </w:numPr>
      </w:pPr>
      <w:r>
        <w:t xml:space="preserve">Google Font API</w:t>
      </w:r>
    </w:p>
    <w:p>
      <w:pPr>
        <w:pStyle w:val="Compact"/>
        <w:numPr>
          <w:ilvl w:val="0"/>
          <w:numId w:val="1008"/>
        </w:numPr>
      </w:pPr>
      <w:r>
        <w:t xml:space="preserve">موارد Cloudflare CDN</w:t>
      </w:r>
    </w:p>
    <w:p>
      <w:pPr>
        <w:pStyle w:val="Compact"/>
        <w:numPr>
          <w:ilvl w:val="0"/>
          <w:numId w:val="1008"/>
        </w:numPr>
      </w:pPr>
      <w:r>
        <w:t xml:space="preserve">مكتبات JavaScript الخارجية</w:t>
      </w:r>
    </w:p>
    <w:bookmarkEnd w:id="29"/>
    <w:bookmarkStart w:id="30" w:name="Xac896ca8685c01648fb7bd2ab7fc1e7cc168c21"/>
    <w:p>
      <w:pPr>
        <w:pStyle w:val="Heading3"/>
      </w:pPr>
      <w:r>
        <w:t xml:space="preserve">3. غياب Content Security Policy (CSP)</w:t>
      </w:r>
    </w:p>
    <w:p>
      <w:pPr>
        <w:pStyle w:val="FirstParagraph"/>
      </w:pPr>
      <w:r>
        <w:rPr>
          <w:b/>
          <w:bCs/>
        </w:rPr>
        <w:t xml:space="preserve">CWE-693 | WASC-15 | العدد: 5 حالات | مستوى الثقة: عالي</w:t>
      </w:r>
    </w:p>
    <w:p>
      <w:pPr>
        <w:pStyle w:val="BodyText"/>
      </w:pPr>
      <w:r>
        <w:rPr>
          <w:b/>
          <w:bCs/>
        </w:rPr>
        <w:t xml:space="preserve">الوصف:</w:t>
      </w:r>
      <w:r>
        <w:t xml:space="preserve"> </w:t>
      </w:r>
      <w:r>
        <w:t xml:space="preserve">غياب سياسة أمان المحتوى يجعل الموقع عرضة لهجمات XSS وحقن أخرى.</w:t>
      </w:r>
    </w:p>
    <w:bookmarkEnd w:id="30"/>
    <w:bookmarkStart w:id="31" w:name="Xa6c67a81dc3b6fa671d2af76bbe19d45505a723"/>
    <w:p>
      <w:pPr>
        <w:pStyle w:val="Heading3"/>
      </w:pPr>
      <w:r>
        <w:t xml:space="preserve">4. غياب الحماية من Clickjacking</w:t>
      </w:r>
    </w:p>
    <w:p>
      <w:pPr>
        <w:pStyle w:val="FirstParagraph"/>
      </w:pPr>
      <w:r>
        <w:rPr>
          <w:b/>
          <w:bCs/>
        </w:rPr>
        <w:t xml:space="preserve">CWE-1021 | WASC-15 | العدد: 5 حالات | مستوى الثقة: متوسط</w:t>
      </w:r>
    </w:p>
    <w:p>
      <w:pPr>
        <w:pStyle w:val="BodyText"/>
      </w:pPr>
      <w:r>
        <w:rPr>
          <w:b/>
          <w:bCs/>
        </w:rPr>
        <w:t xml:space="preserve">الوصف:</w:t>
      </w:r>
      <w:r>
        <w:t xml:space="preserve"> </w:t>
      </w:r>
      <w:r>
        <w:t xml:space="preserve">غياب رؤوس X-Frame-Options أو CSP frame-ancestors يسمح بتضمين الموقع في iframe لتنفيذ هجمات clickjacking.</w:t>
      </w:r>
    </w:p>
    <w:bookmarkEnd w:id="31"/>
    <w:bookmarkEnd w:id="32"/>
    <w:bookmarkStart w:id="36" w:name="large_blue_circle-الثغرات-منخفضة-المخاطر"/>
    <w:p>
      <w:pPr>
        <w:pStyle w:val="Heading2"/>
      </w:pPr>
      <w:r>
        <w:t xml:space="preserve">🔵 الثغرات منخفضة المخاطر</w:t>
      </w:r>
    </w:p>
    <w:bookmarkStart w:id="33" w:name="Xb242b1e867599365f3ae4d233ed59fe795085d6"/>
    <w:p>
      <w:pPr>
        <w:pStyle w:val="Heading3"/>
      </w:pPr>
      <w:r>
        <w:t xml:space="preserve">5. مشاكل أمان النقل</w:t>
      </w:r>
    </w:p>
    <w:p>
      <w:pPr>
        <w:pStyle w:val="Compact"/>
        <w:numPr>
          <w:ilvl w:val="0"/>
          <w:numId w:val="1009"/>
        </w:numPr>
      </w:pPr>
      <w:r>
        <w:rPr>
          <w:b/>
          <w:bCs/>
        </w:rPr>
        <w:t xml:space="preserve">رأس Strict-Transport-Security غير مُعيَّن</w:t>
      </w:r>
      <w:r>
        <w:t xml:space="preserve"> </w:t>
      </w:r>
      <w:r>
        <w:t xml:space="preserve">(CWE-319، حالة واحدة)</w:t>
      </w:r>
    </w:p>
    <w:p>
      <w:pPr>
        <w:pStyle w:val="Compact"/>
        <w:numPr>
          <w:ilvl w:val="0"/>
          <w:numId w:val="1009"/>
        </w:numPr>
      </w:pPr>
      <w:r>
        <w:rPr>
          <w:b/>
          <w:bCs/>
        </w:rPr>
        <w:t xml:space="preserve">أمان النقل الصارم معطل</w:t>
      </w:r>
      <w:r>
        <w:t xml:space="preserve"> </w:t>
      </w:r>
      <w:r>
        <w:t xml:space="preserve">(CWE-319، 5 حالات)</w:t>
      </w:r>
    </w:p>
    <w:bookmarkEnd w:id="33"/>
    <w:bookmarkStart w:id="34" w:name="X56342a7777bd8519cb0b09f3a7c76878e6d7f2f"/>
    <w:p>
      <w:pPr>
        <w:pStyle w:val="Heading3"/>
      </w:pPr>
      <w:r>
        <w:t xml:space="preserve">6. غياب X-Content-Type-Options</w:t>
      </w:r>
    </w:p>
    <w:p>
      <w:pPr>
        <w:pStyle w:val="FirstParagraph"/>
      </w:pPr>
      <w:r>
        <w:rPr>
          <w:b/>
          <w:bCs/>
        </w:rPr>
        <w:t xml:space="preserve">CWE-693 | WASC-15 | مستوى الثقة: متوسط</w:t>
      </w:r>
    </w:p>
    <w:p>
      <w:pPr>
        <w:pStyle w:val="BodyText"/>
      </w:pPr>
      <w:r>
        <w:rPr>
          <w:b/>
          <w:bCs/>
        </w:rPr>
        <w:t xml:space="preserve">الوصف:</w:t>
      </w:r>
      <w:r>
        <w:t xml:space="preserve"> </w:t>
      </w:r>
      <w:r>
        <w:t xml:space="preserve">غياب الحماية من هجمات MIME-sniffing.</w:t>
      </w:r>
    </w:p>
    <w:bookmarkEnd w:id="34"/>
    <w:bookmarkStart w:id="35" w:name="X724a9092350ef372743f4a0211b2b9ecadff9e1"/>
    <w:p>
      <w:pPr>
        <w:pStyle w:val="Heading3"/>
      </w:pPr>
      <w:r>
        <w:t xml:space="preserve">7. تسريب Unix timestamp</w:t>
      </w:r>
    </w:p>
    <w:p>
      <w:pPr>
        <w:pStyle w:val="FirstParagraph"/>
      </w:pPr>
      <w:r>
        <w:rPr>
          <w:b/>
          <w:bCs/>
        </w:rPr>
        <w:t xml:space="preserve">CWE-497 | WASC-13 | العدد: 4 حالات | مستوى الثقة: منخفض</w:t>
      </w:r>
    </w:p>
    <w:p>
      <w:pPr>
        <w:pStyle w:val="BodyText"/>
      </w:pPr>
      <w:r>
        <w:rPr>
          <w:b/>
          <w:bCs/>
        </w:rPr>
        <w:t xml:space="preserve">الوصف:</w:t>
      </w:r>
      <w:r>
        <w:t xml:space="preserve"> </w:t>
      </w:r>
      <w:r>
        <w:t xml:space="preserve">تم اكتشاف تسريب للطوابع الزمنية، مما قد يكشف معلومات عن توقيت إنشاء المحتوى.</w:t>
      </w:r>
    </w:p>
    <w:bookmarkEnd w:id="35"/>
    <w:bookmarkEnd w:id="36"/>
    <w:bookmarkStart w:id="37" w:name="information_source-التنبيهات-المعلوماتية"/>
    <w:p>
      <w:pPr>
        <w:pStyle w:val="Heading2"/>
      </w:pPr>
      <w:r>
        <w:t xml:space="preserve">ℹ️ التنبيهات المعلوماتية</w:t>
      </w:r>
    </w:p>
    <w:p>
      <w:pPr>
        <w:pStyle w:val="FirstParagraph"/>
      </w:pPr>
      <w:r>
        <w:t xml:space="preserve">تم تحديد 21 تنبيهاً معلوماتياً، بما في ذلك:</w:t>
      </w:r>
    </w:p>
    <w:p>
      <w:pPr>
        <w:pStyle w:val="Compact"/>
        <w:numPr>
          <w:ilvl w:val="0"/>
          <w:numId w:val="1010"/>
        </w:numPr>
      </w:pPr>
      <w:r>
        <w:t xml:space="preserve">اكتشاف التقنيات (WordPress، PHP، Cloudflare، إلخ)</w:t>
      </w:r>
    </w:p>
    <w:p>
      <w:pPr>
        <w:pStyle w:val="Compact"/>
        <w:numPr>
          <w:ilvl w:val="0"/>
          <w:numId w:val="1010"/>
        </w:numPr>
      </w:pPr>
      <w:r>
        <w:t xml:space="preserve">مشاكل التخزين المؤقت (5 حالات)</w:t>
      </w:r>
    </w:p>
    <w:p>
      <w:pPr>
        <w:pStyle w:val="Compact"/>
        <w:numPr>
          <w:ilvl w:val="0"/>
          <w:numId w:val="1010"/>
        </w:numPr>
      </w:pPr>
      <w:r>
        <w:t xml:space="preserve">عدم تطابق ترميز الأحرف</w:t>
      </w:r>
    </w:p>
    <w:p>
      <w:pPr>
        <w:pStyle w:val="Compact"/>
        <w:numPr>
          <w:ilvl w:val="0"/>
          <w:numId w:val="1010"/>
        </w:numPr>
      </w:pPr>
      <w:r>
        <w:t xml:space="preserve">تعليقات مشبوهة في الكود (58 حالة)</w:t>
      </w:r>
    </w:p>
    <w:bookmarkEnd w:id="37"/>
    <w:bookmarkEnd w:id="38"/>
    <w:bookmarkStart w:id="45" w:name="تحليل-الامتثال-لـ-owasp-top-10-2021"/>
    <w:p>
      <w:pPr>
        <w:pStyle w:val="Heading1"/>
      </w:pPr>
      <w:r>
        <w:t xml:space="preserve">تحليل الامتثال لـ OWASP Top 10 2021</w:t>
      </w:r>
    </w:p>
    <w:bookmarkStart w:id="39" w:name="a012021--كسر-التحكم-في-الوصول"/>
    <w:p>
      <w:pPr>
        <w:pStyle w:val="Heading2"/>
      </w:pPr>
      <w:r>
        <w:t xml:space="preserve">A01:2021 – كسر التحكم في الوصول</w:t>
      </w:r>
    </w:p>
    <w:p>
      <w:pPr>
        <w:pStyle w:val="BlockText"/>
      </w:pPr>
      <w:r>
        <w:rPr>
          <w:b/>
          <w:bCs/>
        </w:rPr>
        <w:t xml:space="preserve">الحالة</w:t>
      </w:r>
      <w:r>
        <w:t xml:space="preserve">: ❌</w:t>
      </w:r>
      <w:r>
        <w:t xml:space="preserve"> </w:t>
      </w:r>
      <w:r>
        <w:rPr>
          <w:b/>
          <w:bCs/>
        </w:rPr>
        <w:t xml:space="preserve">عدم امتثال حرج</w:t>
      </w:r>
    </w:p>
    <w:p>
      <w:pPr>
        <w:pStyle w:val="FirstParagraph"/>
      </w:pPr>
      <w:r>
        <w:rPr>
          <w:b/>
          <w:bCs/>
        </w:rPr>
        <w:t xml:space="preserve">المشاكل المحددة:</w:t>
      </w:r>
    </w:p>
    <w:p>
      <w:pPr>
        <w:pStyle w:val="Compact"/>
        <w:numPr>
          <w:ilvl w:val="0"/>
          <w:numId w:val="1011"/>
        </w:numPr>
      </w:pPr>
      <w:r>
        <w:rPr>
          <w:b/>
          <w:bCs/>
        </w:rPr>
        <w:t xml:space="preserve">تسريب PII</w:t>
      </w:r>
      <w:r>
        <w:t xml:space="preserve"> </w:t>
      </w:r>
      <w:r>
        <w:t xml:space="preserve">- انتهاك مباشر لمبادئ التحكم في الوصول</w:t>
      </w:r>
    </w:p>
    <w:p>
      <w:pPr>
        <w:pStyle w:val="Compact"/>
        <w:numPr>
          <w:ilvl w:val="0"/>
          <w:numId w:val="1011"/>
        </w:numPr>
      </w:pPr>
      <w:r>
        <w:t xml:space="preserve">غياب آليات حماية المعلومات الحساسة</w:t>
      </w:r>
    </w:p>
    <w:p>
      <w:pPr>
        <w:pStyle w:val="Compact"/>
        <w:numPr>
          <w:ilvl w:val="0"/>
          <w:numId w:val="1011"/>
        </w:numPr>
      </w:pPr>
      <w:r>
        <w:t xml:space="preserve">انتهاك مبدأ "الرفض افتراضياً"</w:t>
      </w:r>
    </w:p>
    <w:p>
      <w:pPr>
        <w:pStyle w:val="FirstParagraph"/>
      </w:pPr>
      <w:r>
        <w:rPr>
          <w:b/>
          <w:bCs/>
        </w:rPr>
        <w:t xml:space="preserve">توصيات OWASP:</w:t>
      </w:r>
    </w:p>
    <w:p>
      <w:pPr>
        <w:pStyle w:val="Compact"/>
        <w:numPr>
          <w:ilvl w:val="0"/>
          <w:numId w:val="1012"/>
        </w:numPr>
      </w:pPr>
      <w:r>
        <w:t xml:space="preserve">تنفيذ ضوابط وصول صارمة</w:t>
      </w:r>
    </w:p>
    <w:p>
      <w:pPr>
        <w:pStyle w:val="Compact"/>
        <w:numPr>
          <w:ilvl w:val="0"/>
          <w:numId w:val="1012"/>
        </w:numPr>
      </w:pPr>
      <w:r>
        <w:t xml:space="preserve">تسجيل محاولات الوصول الفاشلة</w:t>
      </w:r>
    </w:p>
    <w:p>
      <w:pPr>
        <w:pStyle w:val="Compact"/>
        <w:numPr>
          <w:ilvl w:val="0"/>
          <w:numId w:val="1012"/>
        </w:numPr>
      </w:pPr>
      <w:r>
        <w:t xml:space="preserve">تحديد معدل طلبات API</w:t>
      </w:r>
    </w:p>
    <w:p>
      <w:pPr>
        <w:pStyle w:val="Compact"/>
        <w:numPr>
          <w:ilvl w:val="0"/>
          <w:numId w:val="1012"/>
        </w:numPr>
      </w:pPr>
      <w:r>
        <w:t xml:space="preserve">مراجعة دورية لحقوق الوصول</w:t>
      </w:r>
    </w:p>
    <w:bookmarkEnd w:id="39"/>
    <w:bookmarkStart w:id="40" w:name="a032021--الحقن"/>
    <w:p>
      <w:pPr>
        <w:pStyle w:val="Heading2"/>
      </w:pPr>
      <w:r>
        <w:t xml:space="preserve">A03:2021 – الحقن</w:t>
      </w:r>
    </w:p>
    <w:p>
      <w:pPr>
        <w:pStyle w:val="BlockText"/>
      </w:pPr>
      <w:r>
        <w:rPr>
          <w:b/>
          <w:bCs/>
        </w:rPr>
        <w:t xml:space="preserve">الحالة</w:t>
      </w:r>
      <w:r>
        <w:t xml:space="preserve">: ✅</w:t>
      </w:r>
      <w:r>
        <w:t xml:space="preserve"> </w:t>
      </w:r>
      <w:r>
        <w:rPr>
          <w:b/>
          <w:bCs/>
        </w:rPr>
        <w:t xml:space="preserve">متوافق</w:t>
      </w:r>
      <w:r>
        <w:t xml:space="preserve"> </w:t>
      </w:r>
      <w:r>
        <w:t xml:space="preserve">(بناءً على نتائج المسح)</w:t>
      </w:r>
    </w:p>
    <w:p>
      <w:pPr>
        <w:pStyle w:val="FirstParagraph"/>
      </w:pPr>
      <w:r>
        <w:rPr>
          <w:b/>
          <w:bCs/>
        </w:rPr>
        <w:t xml:space="preserve">النتيجة:</w:t>
      </w:r>
      <w:r>
        <w:t xml:space="preserve"> </w:t>
      </w:r>
      <w:r>
        <w:t xml:space="preserve">لم يتم اكتشاف ثغرات من نوع SQL أو NoSQL أو حقن أوامر نظام التشغيل.</w:t>
      </w:r>
    </w:p>
    <w:bookmarkEnd w:id="40"/>
    <w:bookmarkStart w:id="41" w:name="a052021--سوء-تكوين-الأمان"/>
    <w:p>
      <w:pPr>
        <w:pStyle w:val="Heading2"/>
      </w:pPr>
      <w:r>
        <w:t xml:space="preserve">A05:2021 – سوء تكوين الأمان</w:t>
      </w:r>
    </w:p>
    <w:p>
      <w:pPr>
        <w:pStyle w:val="BlockText"/>
      </w:pPr>
      <w:r>
        <w:rPr>
          <w:b/>
          <w:bCs/>
        </w:rPr>
        <w:t xml:space="preserve">الحالة</w:t>
      </w:r>
      <w:r>
        <w:t xml:space="preserve">: ❌</w:t>
      </w:r>
      <w:r>
        <w:t xml:space="preserve"> </w:t>
      </w:r>
      <w:r>
        <w:rPr>
          <w:b/>
          <w:bCs/>
        </w:rPr>
        <w:t xml:space="preserve">عدم امتثال حرج</w:t>
      </w:r>
    </w:p>
    <w:p>
      <w:pPr>
        <w:pStyle w:val="FirstParagraph"/>
      </w:pPr>
      <w:r>
        <w:rPr>
          <w:b/>
          <w:bCs/>
        </w:rPr>
        <w:t xml:space="preserve">المشاكل المحددة:</w:t>
      </w:r>
    </w:p>
    <w:p>
      <w:pPr>
        <w:pStyle w:val="Compact"/>
        <w:numPr>
          <w:ilvl w:val="0"/>
          <w:numId w:val="1013"/>
        </w:numPr>
      </w:pPr>
      <w:r>
        <w:t xml:space="preserve">غياب CSP (5 حالات)</w:t>
      </w:r>
    </w:p>
    <w:p>
      <w:pPr>
        <w:pStyle w:val="Compact"/>
        <w:numPr>
          <w:ilvl w:val="0"/>
          <w:numId w:val="1013"/>
        </w:numPr>
      </w:pPr>
      <w:r>
        <w:t xml:space="preserve">غياب الحماية من clickjacking (5 حالات)</w:t>
      </w:r>
    </w:p>
    <w:p>
      <w:pPr>
        <w:pStyle w:val="Compact"/>
        <w:numPr>
          <w:ilvl w:val="0"/>
          <w:numId w:val="1013"/>
        </w:numPr>
      </w:pPr>
      <w:r>
        <w:t xml:space="preserve">تكوين خاطئ لرؤوس الأمان</w:t>
      </w:r>
    </w:p>
    <w:p>
      <w:pPr>
        <w:pStyle w:val="Compact"/>
        <w:numPr>
          <w:ilvl w:val="0"/>
          <w:numId w:val="1013"/>
        </w:numPr>
      </w:pPr>
      <w:r>
        <w:t xml:space="preserve">غياب X-Content-Type-Options</w:t>
      </w:r>
    </w:p>
    <w:p>
      <w:pPr>
        <w:pStyle w:val="Compact"/>
        <w:numPr>
          <w:ilvl w:val="0"/>
          <w:numId w:val="1013"/>
        </w:numPr>
      </w:pPr>
      <w:r>
        <w:t xml:space="preserve">مشاكل في تكوين HSTS</w:t>
      </w:r>
    </w:p>
    <w:bookmarkEnd w:id="41"/>
    <w:bookmarkStart w:id="42" w:name="a062021--المكونات-الضعيفة-والقديمة"/>
    <w:p>
      <w:pPr>
        <w:pStyle w:val="Heading2"/>
      </w:pPr>
      <w:r>
        <w:t xml:space="preserve">A06:2021 – المكونات الضعيفة والقديمة</w:t>
      </w:r>
    </w:p>
    <w:p>
      <w:pPr>
        <w:pStyle w:val="BlockText"/>
      </w:pPr>
      <w:r>
        <w:rPr>
          <w:b/>
          <w:bCs/>
        </w:rPr>
        <w:t xml:space="preserve">الحالة</w:t>
      </w:r>
      <w:r>
        <w:t xml:space="preserve">: ⚠️</w:t>
      </w:r>
      <w:r>
        <w:t xml:space="preserve"> </w:t>
      </w:r>
      <w:r>
        <w:rPr>
          <w:b/>
          <w:bCs/>
        </w:rPr>
        <w:t xml:space="preserve">يتطلب التحقق</w:t>
      </w:r>
    </w:p>
    <w:p>
      <w:pPr>
        <w:pStyle w:val="FirstParagraph"/>
      </w:pPr>
      <w:r>
        <w:rPr>
          <w:b/>
          <w:bCs/>
        </w:rPr>
        <w:t xml:space="preserve">المكونات المحددة:</w:t>
      </w:r>
    </w:p>
    <w:p>
      <w:pPr>
        <w:pStyle w:val="Compact"/>
        <w:numPr>
          <w:ilvl w:val="0"/>
          <w:numId w:val="1014"/>
        </w:numPr>
      </w:pPr>
      <w:r>
        <w:t xml:space="preserve">WordPress (الإصدار غير محدد)</w:t>
      </w:r>
    </w:p>
    <w:p>
      <w:pPr>
        <w:pStyle w:val="Compact"/>
        <w:numPr>
          <w:ilvl w:val="0"/>
          <w:numId w:val="1014"/>
        </w:numPr>
      </w:pPr>
      <w:r>
        <w:t xml:space="preserve">PHP (الإصدار غير محدد)</w:t>
      </w:r>
    </w:p>
    <w:p>
      <w:pPr>
        <w:pStyle w:val="Compact"/>
        <w:numPr>
          <w:ilvl w:val="0"/>
          <w:numId w:val="1014"/>
        </w:numPr>
      </w:pPr>
      <w:r>
        <w:t xml:space="preserve">خادم ويب LiteSpeed</w:t>
      </w:r>
    </w:p>
    <w:p>
      <w:pPr>
        <w:pStyle w:val="Compact"/>
        <w:numPr>
          <w:ilvl w:val="0"/>
          <w:numId w:val="1014"/>
        </w:numPr>
      </w:pPr>
      <w:r>
        <w:t xml:space="preserve">إضافات متعددة: Blocksy، Stackable، LiteSpeed Cache</w:t>
      </w:r>
    </w:p>
    <w:p>
      <w:pPr>
        <w:pStyle w:val="FirstParagraph"/>
      </w:pPr>
      <w:r>
        <w:rPr>
          <w:b/>
          <w:bCs/>
        </w:rPr>
        <w:t xml:space="preserve">التوصيات:</w:t>
      </w:r>
      <w:r>
        <w:t xml:space="preserve"> </w:t>
      </w:r>
      <w:r>
        <w:t xml:space="preserve">مطلوب مراجعة تفصيلية لإصدارات جميع المكونات.</w:t>
      </w:r>
    </w:p>
    <w:bookmarkEnd w:id="42"/>
    <w:bookmarkStart w:id="43" w:name="a082021--فشل-سلامة-البرمجيات-والبيانات"/>
    <w:p>
      <w:pPr>
        <w:pStyle w:val="Heading2"/>
      </w:pPr>
      <w:r>
        <w:t xml:space="preserve">A08:2021 – فشل سلامة البرمجيات والبيانات</w:t>
      </w:r>
    </w:p>
    <w:p>
      <w:pPr>
        <w:pStyle w:val="BlockText"/>
      </w:pPr>
      <w:r>
        <w:rPr>
          <w:b/>
          <w:bCs/>
        </w:rPr>
        <w:t xml:space="preserve">الحالة</w:t>
      </w:r>
      <w:r>
        <w:t xml:space="preserve">: ❌</w:t>
      </w:r>
      <w:r>
        <w:t xml:space="preserve"> </w:t>
      </w:r>
      <w:r>
        <w:rPr>
          <w:b/>
          <w:bCs/>
        </w:rPr>
        <w:t xml:space="preserve">غير متوافق</w:t>
      </w:r>
    </w:p>
    <w:p>
      <w:pPr>
        <w:pStyle w:val="FirstParagraph"/>
      </w:pPr>
      <w:r>
        <w:rPr>
          <w:b/>
          <w:bCs/>
        </w:rPr>
        <w:t xml:space="preserve">المشاكل:</w:t>
      </w:r>
    </w:p>
    <w:p>
      <w:pPr>
        <w:pStyle w:val="Compact"/>
        <w:numPr>
          <w:ilvl w:val="0"/>
          <w:numId w:val="1015"/>
        </w:numPr>
      </w:pPr>
      <w:r>
        <w:t xml:space="preserve">غياب Subresource Integrity للموارد الخارجية (5 حالات)</w:t>
      </w:r>
    </w:p>
    <w:p>
      <w:pPr>
        <w:pStyle w:val="Compact"/>
        <w:numPr>
          <w:ilvl w:val="0"/>
          <w:numId w:val="1015"/>
        </w:numPr>
      </w:pPr>
      <w:r>
        <w:t xml:space="preserve">مخاطر الاختراق عبر CDN والمكتبات الخارجية</w:t>
      </w:r>
    </w:p>
    <w:p>
      <w:pPr>
        <w:pStyle w:val="Compact"/>
        <w:numPr>
          <w:ilvl w:val="0"/>
          <w:numId w:val="1015"/>
        </w:numPr>
      </w:pPr>
      <w:r>
        <w:t xml:space="preserve">غياب التحقق من سلامة التحديثات</w:t>
      </w:r>
    </w:p>
    <w:bookmarkEnd w:id="43"/>
    <w:bookmarkStart w:id="44" w:name="a092021--فشل-التسجيل-والمراقبة-الأمنية"/>
    <w:p>
      <w:pPr>
        <w:pStyle w:val="Heading2"/>
      </w:pPr>
      <w:r>
        <w:t xml:space="preserve">A09:2021 – فشل التسجيل والمراقبة الأمنية</w:t>
      </w:r>
    </w:p>
    <w:p>
      <w:pPr>
        <w:pStyle w:val="BlockText"/>
      </w:pPr>
      <w:r>
        <w:rPr>
          <w:b/>
          <w:bCs/>
        </w:rPr>
        <w:t xml:space="preserve">الحالة</w:t>
      </w:r>
      <w:r>
        <w:t xml:space="preserve">: ❌</w:t>
      </w:r>
      <w:r>
        <w:t xml:space="preserve"> </w:t>
      </w:r>
      <w:r>
        <w:rPr>
          <w:b/>
          <w:bCs/>
        </w:rPr>
        <w:t xml:space="preserve">غير متوافق</w:t>
      </w:r>
    </w:p>
    <w:p>
      <w:pPr>
        <w:pStyle w:val="FirstParagraph"/>
      </w:pPr>
      <w:r>
        <w:rPr>
          <w:b/>
          <w:bCs/>
        </w:rPr>
        <w:t xml:space="preserve">المشاكل:</w:t>
      </w:r>
    </w:p>
    <w:p>
      <w:pPr>
        <w:pStyle w:val="Compact"/>
        <w:numPr>
          <w:ilvl w:val="0"/>
          <w:numId w:val="1016"/>
        </w:numPr>
      </w:pPr>
      <w:r>
        <w:t xml:space="preserve">لا توجد معلومات عن أنظمة التسجيل</w:t>
      </w:r>
    </w:p>
    <w:p>
      <w:pPr>
        <w:pStyle w:val="Compact"/>
        <w:numPr>
          <w:ilvl w:val="0"/>
          <w:numId w:val="1016"/>
        </w:numPr>
      </w:pPr>
      <w:r>
        <w:t xml:space="preserve">حالة مراقبة الأمان غير معروفة</w:t>
      </w:r>
    </w:p>
    <w:p>
      <w:pPr>
        <w:pStyle w:val="Compact"/>
        <w:numPr>
          <w:ilvl w:val="0"/>
          <w:numId w:val="1016"/>
        </w:numPr>
      </w:pPr>
      <w:r>
        <w:t xml:space="preserve">غياب أنظمة اكتشاف الشذوذ</w:t>
      </w:r>
    </w:p>
    <w:bookmarkEnd w:id="44"/>
    <w:bookmarkEnd w:id="45"/>
    <w:bookmarkStart w:id="52" w:name="X411e6e77259e3fa925e4fd00f31aafb4b1281f4"/>
    <w:p>
      <w:pPr>
        <w:pStyle w:val="Heading1"/>
      </w:pPr>
      <w:r>
        <w:t xml:space="preserve">الامتثال لإطار عمل NIST للأمن السيبراني 2.0</w:t>
      </w:r>
    </w:p>
    <w:bookmarkStart w:id="46" w:name="govern-الحوكمة---20-امتثال"/>
    <w:p>
      <w:pPr>
        <w:pStyle w:val="Heading2"/>
      </w:pPr>
      <w:r>
        <w:t xml:space="preserve">GOVERN (الحوكمة) - 20% امتثال</w:t>
      </w:r>
    </w:p>
    <w:p>
      <w:pPr>
        <w:pStyle w:val="FirstParagraph"/>
      </w:pPr>
      <w:r>
        <w:rPr>
          <w:b/>
          <w:bCs/>
        </w:rPr>
        <w:t xml:space="preserve">GV.OC-01: الأمن السيبراني التنظيمي</w:t>
      </w:r>
    </w:p>
    <w:p>
      <w:pPr>
        <w:pStyle w:val="Compact"/>
        <w:numPr>
          <w:ilvl w:val="0"/>
          <w:numId w:val="1017"/>
        </w:numPr>
      </w:pPr>
      <w:r>
        <w:t xml:space="preserve">❌ لا توجد أدلة على سياسة أمان رسمية</w:t>
      </w:r>
    </w:p>
    <w:p>
      <w:pPr>
        <w:pStyle w:val="FirstParagraph"/>
      </w:pPr>
      <w:r>
        <w:rPr>
          <w:b/>
          <w:bCs/>
        </w:rPr>
        <w:t xml:space="preserve">GV.RM-01: إدارة المخاطر</w:t>
      </w:r>
    </w:p>
    <w:p>
      <w:pPr>
        <w:pStyle w:val="Compact"/>
        <w:numPr>
          <w:ilvl w:val="0"/>
          <w:numId w:val="1018"/>
        </w:numPr>
      </w:pPr>
      <w:r>
        <w:t xml:space="preserve">❌ لم يتم تنفيذ إجراءات إدارة مخاطر الأمن السيبراني</w:t>
      </w:r>
    </w:p>
    <w:p>
      <w:pPr>
        <w:pStyle w:val="FirstParagraph"/>
      </w:pPr>
      <w:r>
        <w:rPr>
          <w:b/>
          <w:bCs/>
        </w:rPr>
        <w:t xml:space="preserve">GV.SC-01: إدارة سلسلة التوريد</w:t>
      </w:r>
    </w:p>
    <w:p>
      <w:pPr>
        <w:pStyle w:val="Compact"/>
        <w:numPr>
          <w:ilvl w:val="0"/>
          <w:numId w:val="1019"/>
        </w:numPr>
      </w:pPr>
      <w:r>
        <w:t xml:space="preserve">❌ غياب ضوابط سلامة الموارد الخارجية</w:t>
      </w:r>
    </w:p>
    <w:bookmarkEnd w:id="46"/>
    <w:bookmarkStart w:id="47" w:name="identify-التحديد---60-امتثال"/>
    <w:p>
      <w:pPr>
        <w:pStyle w:val="Heading2"/>
      </w:pPr>
      <w:r>
        <w:t xml:space="preserve">IDENTIFY (التحديد) - 60% امتثال</w:t>
      </w:r>
    </w:p>
    <w:p>
      <w:pPr>
        <w:pStyle w:val="FirstParagraph"/>
      </w:pPr>
      <w:r>
        <w:rPr>
          <w:b/>
          <w:bCs/>
        </w:rPr>
        <w:t xml:space="preserve">ID.AM-02: جرد أصول البرمجيات</w:t>
      </w:r>
    </w:p>
    <w:p>
      <w:pPr>
        <w:pStyle w:val="Compact"/>
        <w:numPr>
          <w:ilvl w:val="0"/>
          <w:numId w:val="1020"/>
        </w:numPr>
      </w:pPr>
      <w:r>
        <w:t xml:space="preserve">✅ مكتمل جزئياً - تم تحديد المكونات الرئيسية</w:t>
      </w:r>
    </w:p>
    <w:p>
      <w:pPr>
        <w:pStyle w:val="FirstParagraph"/>
      </w:pPr>
      <w:r>
        <w:rPr>
          <w:b/>
          <w:bCs/>
        </w:rPr>
        <w:t xml:space="preserve">ID.RA-01: تقييم الثغرات</w:t>
      </w:r>
    </w:p>
    <w:p>
      <w:pPr>
        <w:pStyle w:val="Compact"/>
        <w:numPr>
          <w:ilvl w:val="0"/>
          <w:numId w:val="1021"/>
        </w:numPr>
      </w:pPr>
      <w:r>
        <w:t xml:space="preserve">✅ مكتمل - تم إجراء مسح أمني</w:t>
      </w:r>
    </w:p>
    <w:p>
      <w:pPr>
        <w:pStyle w:val="FirstParagraph"/>
      </w:pPr>
      <w:r>
        <w:rPr>
          <w:b/>
          <w:bCs/>
        </w:rPr>
        <w:t xml:space="preserve">ID.RA-02: تحليل التهديدات</w:t>
      </w:r>
    </w:p>
    <w:p>
      <w:pPr>
        <w:pStyle w:val="Compact"/>
        <w:numPr>
          <w:ilvl w:val="0"/>
          <w:numId w:val="1022"/>
        </w:numPr>
      </w:pPr>
      <w:r>
        <w:t xml:space="preserve">❌ غياب تحليل منهجي للتهديدات</w:t>
      </w:r>
    </w:p>
    <w:bookmarkEnd w:id="47"/>
    <w:bookmarkStart w:id="48" w:name="protect-الحماية---15-امتثال"/>
    <w:p>
      <w:pPr>
        <w:pStyle w:val="Heading2"/>
      </w:pPr>
      <w:r>
        <w:t xml:space="preserve">PROTECT (الحماية) - 15% امتثال</w:t>
      </w:r>
    </w:p>
    <w:p>
      <w:pPr>
        <w:pStyle w:val="FirstParagraph"/>
      </w:pPr>
      <w:r>
        <w:rPr>
          <w:b/>
          <w:bCs/>
        </w:rPr>
        <w:t xml:space="preserve">PR.AC-01: إدارة الهوية والمصادقة</w:t>
      </w:r>
    </w:p>
    <w:p>
      <w:pPr>
        <w:pStyle w:val="Compact"/>
        <w:numPr>
          <w:ilvl w:val="0"/>
          <w:numId w:val="1023"/>
        </w:numPr>
      </w:pPr>
      <w:r>
        <w:t xml:space="preserve">❌ بيانات غير كافية للتقييم</w:t>
      </w:r>
    </w:p>
    <w:p>
      <w:pPr>
        <w:pStyle w:val="FirstParagraph"/>
      </w:pPr>
      <w:r>
        <w:rPr>
          <w:b/>
          <w:bCs/>
        </w:rPr>
        <w:t xml:space="preserve">PR.DS-01: حماية البيانات في حالة السكون</w:t>
      </w:r>
    </w:p>
    <w:p>
      <w:pPr>
        <w:pStyle w:val="Compact"/>
        <w:numPr>
          <w:ilvl w:val="0"/>
          <w:numId w:val="1024"/>
        </w:numPr>
      </w:pPr>
      <w:r>
        <w:t xml:space="preserve">❌ تم اكتشاف تسريب PII</w:t>
      </w:r>
    </w:p>
    <w:p>
      <w:pPr>
        <w:pStyle w:val="FirstParagraph"/>
      </w:pPr>
      <w:r>
        <w:rPr>
          <w:b/>
          <w:bCs/>
        </w:rPr>
        <w:t xml:space="preserve">PR.DS-02: حماية البيانات أثناء النقل</w:t>
      </w:r>
    </w:p>
    <w:p>
      <w:pPr>
        <w:pStyle w:val="Compact"/>
        <w:numPr>
          <w:ilvl w:val="0"/>
          <w:numId w:val="1025"/>
        </w:numPr>
      </w:pPr>
      <w:r>
        <w:t xml:space="preserve">⚠️ منفذ جزئياً (HTTPS، لكن مشاكل في HSTS)</w:t>
      </w:r>
    </w:p>
    <w:p>
      <w:pPr>
        <w:pStyle w:val="FirstParagraph"/>
      </w:pPr>
      <w:r>
        <w:rPr>
          <w:b/>
          <w:bCs/>
        </w:rPr>
        <w:t xml:space="preserve">PR.PT-01: المراجعة/التسجيل</w:t>
      </w:r>
    </w:p>
    <w:p>
      <w:pPr>
        <w:pStyle w:val="Compact"/>
        <w:numPr>
          <w:ilvl w:val="0"/>
          <w:numId w:val="1026"/>
        </w:numPr>
      </w:pPr>
      <w:r>
        <w:t xml:space="preserve">❌ معلومات غير كافية عن أنظمة المراجعة</w:t>
      </w:r>
    </w:p>
    <w:bookmarkEnd w:id="48"/>
    <w:bookmarkStart w:id="49" w:name="detect-الاكتشاف---0-امتثال"/>
    <w:p>
      <w:pPr>
        <w:pStyle w:val="Heading2"/>
      </w:pPr>
      <w:r>
        <w:t xml:space="preserve">DETECT (الاكتشاف) - 0% امتثال</w:t>
      </w:r>
    </w:p>
    <w:p>
      <w:pPr>
        <w:pStyle w:val="FirstParagraph"/>
      </w:pPr>
      <w:r>
        <w:rPr>
          <w:b/>
          <w:bCs/>
        </w:rPr>
        <w:t xml:space="preserve">DE.CM-01: مراقبة الشبكة</w:t>
      </w:r>
    </w:p>
    <w:p>
      <w:pPr>
        <w:pStyle w:val="Compact"/>
        <w:numPr>
          <w:ilvl w:val="0"/>
          <w:numId w:val="1027"/>
        </w:numPr>
      </w:pPr>
      <w:r>
        <w:t xml:space="preserve">❌ لا توجد أدلة على المراقبة</w:t>
      </w:r>
    </w:p>
    <w:p>
      <w:pPr>
        <w:pStyle w:val="FirstParagraph"/>
      </w:pPr>
      <w:r>
        <w:rPr>
          <w:b/>
          <w:bCs/>
        </w:rPr>
        <w:t xml:space="preserve">DE.AE-01: اكتشاف الشذوذ</w:t>
      </w:r>
    </w:p>
    <w:p>
      <w:pPr>
        <w:pStyle w:val="Compact"/>
        <w:numPr>
          <w:ilvl w:val="0"/>
          <w:numId w:val="1028"/>
        </w:numPr>
      </w:pPr>
      <w:r>
        <w:t xml:space="preserve">❌ غياب أنظمة اكتشاف الشذوذ</w:t>
      </w:r>
    </w:p>
    <w:bookmarkEnd w:id="49"/>
    <w:bookmarkStart w:id="50" w:name="respond-الاستجابة---0-امتثال"/>
    <w:p>
      <w:pPr>
        <w:pStyle w:val="Heading2"/>
      </w:pPr>
      <w:r>
        <w:t xml:space="preserve">RESPOND (الاستجابة) - 0% امتثال</w:t>
      </w:r>
    </w:p>
    <w:p>
      <w:pPr>
        <w:pStyle w:val="FirstParagraph"/>
      </w:pPr>
      <w:r>
        <w:rPr>
          <w:b/>
          <w:bCs/>
        </w:rPr>
        <w:t xml:space="preserve">RS.RP-01: تخطيط الاستجابة</w:t>
      </w:r>
    </w:p>
    <w:p>
      <w:pPr>
        <w:pStyle w:val="Compact"/>
        <w:numPr>
          <w:ilvl w:val="0"/>
          <w:numId w:val="1029"/>
        </w:numPr>
      </w:pPr>
      <w:r>
        <w:t xml:space="preserve">❌ لا توجد أدلة على خطة استجابة</w:t>
      </w:r>
    </w:p>
    <w:p>
      <w:pPr>
        <w:pStyle w:val="FirstParagraph"/>
      </w:pPr>
      <w:r>
        <w:rPr>
          <w:b/>
          <w:bCs/>
        </w:rPr>
        <w:t xml:space="preserve">RS.CO-01: الاتصالات</w:t>
      </w:r>
    </w:p>
    <w:p>
      <w:pPr>
        <w:pStyle w:val="Compact"/>
        <w:numPr>
          <w:ilvl w:val="0"/>
          <w:numId w:val="1030"/>
        </w:numPr>
      </w:pPr>
      <w:r>
        <w:t xml:space="preserve">❌ غياب إجراءات إخطار الحوادث</w:t>
      </w:r>
    </w:p>
    <w:bookmarkEnd w:id="50"/>
    <w:bookmarkStart w:id="51" w:name="recover-الاستعادة---0-امتثال"/>
    <w:p>
      <w:pPr>
        <w:pStyle w:val="Heading2"/>
      </w:pPr>
      <w:r>
        <w:t xml:space="preserve">RECOVER (الاستعادة) - 0% امتثال</w:t>
      </w:r>
    </w:p>
    <w:p>
      <w:pPr>
        <w:pStyle w:val="FirstParagraph"/>
      </w:pPr>
      <w:r>
        <w:rPr>
          <w:b/>
          <w:bCs/>
        </w:rPr>
        <w:t xml:space="preserve">RC.RP-01: تخطيط الاستعادة</w:t>
      </w:r>
    </w:p>
    <w:p>
      <w:pPr>
        <w:pStyle w:val="Compact"/>
        <w:numPr>
          <w:ilvl w:val="0"/>
          <w:numId w:val="1031"/>
        </w:numPr>
      </w:pPr>
      <w:r>
        <w:t xml:space="preserve">❌ لا توجد أدلة على خطة استعادة</w:t>
      </w:r>
    </w:p>
    <w:p>
      <w:pPr>
        <w:pStyle w:val="FirstParagraph"/>
      </w:pPr>
      <w:r>
        <w:rPr>
          <w:b/>
          <w:bCs/>
        </w:rPr>
        <w:t xml:space="preserve">RC.CO-01: اتصالات الاستعادة</w:t>
      </w:r>
    </w:p>
    <w:p>
      <w:pPr>
        <w:pStyle w:val="Compact"/>
        <w:numPr>
          <w:ilvl w:val="0"/>
          <w:numId w:val="1032"/>
        </w:numPr>
      </w:pPr>
      <w:r>
        <w:t xml:space="preserve">❌ غياب إجراءات الاتصال أثناء الاستعادة</w:t>
      </w:r>
    </w:p>
    <w:bookmarkEnd w:id="51"/>
    <w:bookmarkEnd w:id="52"/>
    <w:bookmarkStart w:id="57" w:name="Xc5fb5ad587cd8a67d3e15b8d9c820a940d7d5cb"/>
    <w:p>
      <w:pPr>
        <w:pStyle w:val="Heading1"/>
      </w:pPr>
      <w:r>
        <w:t xml:space="preserve">الامتثال لمعايير Microsoft Security Baseline</w:t>
      </w:r>
    </w:p>
    <w:bookmarkStart w:id="53" w:name="أمان-النقل"/>
    <w:p>
      <w:pPr>
        <w:pStyle w:val="Heading2"/>
      </w:pPr>
      <w:r>
        <w:t xml:space="preserve">أمان النقل</w:t>
      </w:r>
    </w:p>
    <w:p>
      <w:pPr>
        <w:pStyle w:val="FirstParagraph"/>
      </w:pPr>
      <w:r>
        <w:t xml:space="preserve">❌</w:t>
      </w:r>
      <w:r>
        <w:t xml:space="preserve"> </w:t>
      </w:r>
      <w:r>
        <w:rPr>
          <w:b/>
          <w:bCs/>
        </w:rPr>
        <w:t xml:space="preserve">أوجه قصور حرجة:</w:t>
      </w:r>
    </w:p>
    <w:p>
      <w:pPr>
        <w:pStyle w:val="Compact"/>
        <w:numPr>
          <w:ilvl w:val="0"/>
          <w:numId w:val="1033"/>
        </w:numPr>
      </w:pPr>
      <w:r>
        <w:t xml:space="preserve">رأس Strict-Transport-Security غير مُعيَّن (حالة واحدة)</w:t>
      </w:r>
    </w:p>
    <w:p>
      <w:pPr>
        <w:pStyle w:val="Compact"/>
        <w:numPr>
          <w:ilvl w:val="0"/>
          <w:numId w:val="1033"/>
        </w:numPr>
      </w:pPr>
      <w:r>
        <w:t xml:space="preserve">أمان النقل الصارم معطل (5 حالات)</w:t>
      </w:r>
    </w:p>
    <w:p>
      <w:pPr>
        <w:pStyle w:val="Compact"/>
        <w:numPr>
          <w:ilvl w:val="0"/>
          <w:numId w:val="1033"/>
        </w:numPr>
      </w:pPr>
      <w:r>
        <w:t xml:space="preserve">غياب فرض HTTPS الإجباري لجميع الموارد</w:t>
      </w:r>
    </w:p>
    <w:bookmarkEnd w:id="53"/>
    <w:bookmarkStart w:id="54" w:name="حماية-المحتوى"/>
    <w:p>
      <w:pPr>
        <w:pStyle w:val="Heading2"/>
      </w:pPr>
      <w:r>
        <w:t xml:space="preserve">حماية المحتوى</w:t>
      </w:r>
    </w:p>
    <w:p>
      <w:pPr>
        <w:pStyle w:val="FirstParagraph"/>
      </w:pPr>
      <w:r>
        <w:t xml:space="preserve">❌</w:t>
      </w:r>
      <w:r>
        <w:t xml:space="preserve"> </w:t>
      </w:r>
      <w:r>
        <w:rPr>
          <w:b/>
          <w:bCs/>
        </w:rPr>
        <w:t xml:space="preserve">أوجه قصور حرجة:</w:t>
      </w:r>
    </w:p>
    <w:p>
      <w:pPr>
        <w:pStyle w:val="Compact"/>
        <w:numPr>
          <w:ilvl w:val="0"/>
          <w:numId w:val="1034"/>
        </w:numPr>
      </w:pPr>
      <w:r>
        <w:t xml:space="preserve">رأس X-Content-Type-Options مفقود</w:t>
      </w:r>
    </w:p>
    <w:p>
      <w:pPr>
        <w:pStyle w:val="Compact"/>
        <w:numPr>
          <w:ilvl w:val="0"/>
          <w:numId w:val="1034"/>
        </w:numPr>
      </w:pPr>
      <w:r>
        <w:t xml:space="preserve">Content Security Policy مفقود (5 حالات)</w:t>
      </w:r>
    </w:p>
    <w:p>
      <w:pPr>
        <w:pStyle w:val="Compact"/>
        <w:numPr>
          <w:ilvl w:val="0"/>
          <w:numId w:val="1034"/>
        </w:numPr>
      </w:pPr>
      <w:r>
        <w:t xml:space="preserve">لا توجد حماية من هجمات MIME-sniffing</w:t>
      </w:r>
    </w:p>
    <w:p>
      <w:pPr>
        <w:pStyle w:val="Compact"/>
        <w:numPr>
          <w:ilvl w:val="0"/>
          <w:numId w:val="1034"/>
        </w:numPr>
      </w:pPr>
      <w:r>
        <w:t xml:space="preserve">غياب الحماية من clickjacking</w:t>
      </w:r>
    </w:p>
    <w:bookmarkEnd w:id="54"/>
    <w:bookmarkStart w:id="55" w:name="سلامة-الموارد"/>
    <w:p>
      <w:pPr>
        <w:pStyle w:val="Heading2"/>
      </w:pPr>
      <w:r>
        <w:t xml:space="preserve">سلامة الموارد</w:t>
      </w:r>
    </w:p>
    <w:p>
      <w:pPr>
        <w:pStyle w:val="FirstParagraph"/>
      </w:pPr>
      <w:r>
        <w:t xml:space="preserve">❌</w:t>
      </w:r>
      <w:r>
        <w:t xml:space="preserve"> </w:t>
      </w:r>
      <w:r>
        <w:rPr>
          <w:b/>
          <w:bCs/>
        </w:rPr>
        <w:t xml:space="preserve">مخاطر متوسطة:</w:t>
      </w:r>
    </w:p>
    <w:p>
      <w:pPr>
        <w:pStyle w:val="Compact"/>
        <w:numPr>
          <w:ilvl w:val="0"/>
          <w:numId w:val="1035"/>
        </w:numPr>
      </w:pPr>
      <w:r>
        <w:t xml:space="preserve">غياب خاصية Subresource Integrity للموارد الخارجية (5 حالات)</w:t>
      </w:r>
    </w:p>
    <w:p>
      <w:pPr>
        <w:pStyle w:val="Compact"/>
        <w:numPr>
          <w:ilvl w:val="0"/>
          <w:numId w:val="1035"/>
        </w:numPr>
      </w:pPr>
      <w:r>
        <w:t xml:space="preserve">مخاطر اختراق المكتبات الخارجية من Google Font API وCloudflare وCDN أخرى</w:t>
      </w:r>
    </w:p>
    <w:p>
      <w:pPr>
        <w:pStyle w:val="Compact"/>
        <w:numPr>
          <w:ilvl w:val="0"/>
          <w:numId w:val="1035"/>
        </w:numPr>
      </w:pPr>
      <w:r>
        <w:t xml:space="preserve">غياب التحقق من سلامة تحميل الموارد</w:t>
      </w:r>
    </w:p>
    <w:bookmarkEnd w:id="55"/>
    <w:bookmarkStart w:id="56" w:name="إدارة-البيانات"/>
    <w:p>
      <w:pPr>
        <w:pStyle w:val="Heading2"/>
      </w:pPr>
      <w:r>
        <w:t xml:space="preserve">إدارة البيانات</w:t>
      </w:r>
    </w:p>
    <w:p>
      <w:pPr>
        <w:pStyle w:val="FirstParagraph"/>
      </w:pPr>
      <w:r>
        <w:t xml:space="preserve">❌</w:t>
      </w:r>
      <w:r>
        <w:t xml:space="preserve"> </w:t>
      </w:r>
      <w:r>
        <w:rPr>
          <w:b/>
          <w:bCs/>
        </w:rPr>
        <w:t xml:space="preserve">مخاطر حرجة:</w:t>
      </w:r>
    </w:p>
    <w:p>
      <w:pPr>
        <w:pStyle w:val="Compact"/>
        <w:numPr>
          <w:ilvl w:val="0"/>
          <w:numId w:val="1036"/>
        </w:numPr>
      </w:pPr>
      <w:r>
        <w:t xml:space="preserve">تم اكتشاف تسريب للبيانات الشخصية</w:t>
      </w:r>
    </w:p>
    <w:p>
      <w:pPr>
        <w:pStyle w:val="Compact"/>
        <w:numPr>
          <w:ilvl w:val="0"/>
          <w:numId w:val="1036"/>
        </w:numPr>
      </w:pPr>
      <w:r>
        <w:t xml:space="preserve">غياب تصنيف البيانات</w:t>
      </w:r>
    </w:p>
    <w:p>
      <w:pPr>
        <w:pStyle w:val="Compact"/>
        <w:numPr>
          <w:ilvl w:val="0"/>
          <w:numId w:val="1036"/>
        </w:numPr>
      </w:pPr>
      <w:r>
        <w:t xml:space="preserve">لا توجد ضوابط وصول للمعلومات الحساسة</w:t>
      </w:r>
    </w:p>
    <w:bookmarkEnd w:id="56"/>
    <w:bookmarkEnd w:id="57"/>
    <w:bookmarkStart w:id="61" w:name="خطة-معالجة-الثغرات-الأمنية"/>
    <w:p>
      <w:pPr>
        <w:pStyle w:val="Heading1"/>
      </w:pPr>
      <w:r>
        <w:t xml:space="preserve">خطة معالجة الثغرات الأمنية</w:t>
      </w:r>
    </w:p>
    <w:bookmarkStart w:id="58" w:name="المرحلة-الأولى-الإصلاحات-الحرجة-0-7-أيام"/>
    <w:p>
      <w:pPr>
        <w:pStyle w:val="Heading2"/>
      </w:pPr>
      <w:r>
        <w:t xml:space="preserve">المرحلة الأولى: الإصلاحات الحرجة (0-7 أيام)</w:t>
      </w:r>
    </w:p>
    <w:p>
      <w:pPr>
        <w:pStyle w:val="FirstParagraph"/>
      </w:pPr>
      <w:r>
        <w:rPr>
          <w:b/>
          <w:bCs/>
        </w:rPr>
        <w:t xml:space="preserve">🚨 الأولوية الأولى: معالجة تسريب PII (0-3 أيام)</w:t>
      </w:r>
    </w:p>
    <w:p>
      <w:pPr>
        <w:pStyle w:val="Compact"/>
        <w:numPr>
          <w:ilvl w:val="0"/>
          <w:numId w:val="1037"/>
        </w:numPr>
      </w:pPr>
      <w:r>
        <w:t xml:space="preserve">☐</w:t>
      </w:r>
      <w:r>
        <w:t xml:space="preserve"> </w:t>
      </w:r>
      <w:r>
        <w:rPr>
          <w:b/>
          <w:bCs/>
        </w:rPr>
        <w:t xml:space="preserve">اليوم الأول</w:t>
      </w:r>
      <w:r>
        <w:t xml:space="preserve">: التحديد الفوري وحجب مصادر تسريب PII</w:t>
      </w:r>
    </w:p>
    <w:p>
      <w:pPr>
        <w:pStyle w:val="Compact"/>
        <w:numPr>
          <w:ilvl w:val="0"/>
          <w:numId w:val="1037"/>
        </w:numPr>
      </w:pPr>
      <w:r>
        <w:t xml:space="preserve">☐</w:t>
      </w:r>
      <w:r>
        <w:t xml:space="preserve"> </w:t>
      </w:r>
      <w:r>
        <w:rPr>
          <w:b/>
          <w:bCs/>
        </w:rPr>
        <w:t xml:space="preserve">اليوم الثاني</w:t>
      </w:r>
      <w:r>
        <w:t xml:space="preserve">: تنفيذ إخفاء/تشفير البيانات الحساسة</w:t>
      </w:r>
    </w:p>
    <w:p>
      <w:pPr>
        <w:pStyle w:val="Compact"/>
        <w:numPr>
          <w:ilvl w:val="0"/>
          <w:numId w:val="1037"/>
        </w:numPr>
      </w:pPr>
      <w:r>
        <w:t xml:space="preserve">☐</w:t>
      </w:r>
      <w:r>
        <w:t xml:space="preserve"> </w:t>
      </w:r>
      <w:r>
        <w:rPr>
          <w:b/>
          <w:bCs/>
        </w:rPr>
        <w:t xml:space="preserve">اليوم الثالث</w:t>
      </w:r>
      <w:r>
        <w:t xml:space="preserve">: نشر ضوابط وصول صارمة للبيانات الشخصية</w:t>
      </w:r>
    </w:p>
    <w:p>
      <w:pPr>
        <w:pStyle w:val="Compact"/>
        <w:numPr>
          <w:ilvl w:val="0"/>
          <w:numId w:val="1037"/>
        </w:numPr>
      </w:pPr>
      <w:r>
        <w:t xml:space="preserve">☐</w:t>
      </w:r>
      <w:r>
        <w:t xml:space="preserve"> </w:t>
      </w:r>
      <w:r>
        <w:rPr>
          <w:b/>
          <w:bCs/>
        </w:rPr>
        <w:t xml:space="preserve">اليوم الثالث</w:t>
      </w:r>
      <w:r>
        <w:t xml:space="preserve">: إخطار الجهات التنظيمية وفقاً لمتطلبات GDPR (72 ساعة)</w:t>
      </w:r>
    </w:p>
    <w:p>
      <w:pPr>
        <w:pStyle w:val="FirstParagraph"/>
      </w:pPr>
      <w:r>
        <w:rPr>
          <w:b/>
          <w:bCs/>
        </w:rPr>
        <w:t xml:space="preserve">🔧 الأولوية الثانية: رؤوس الأمان الأساسية (4-7 أيام)</w:t>
      </w:r>
    </w:p>
    <w:p>
      <w:pPr>
        <w:pStyle w:val="Compact"/>
        <w:numPr>
          <w:ilvl w:val="0"/>
          <w:numId w:val="1038"/>
        </w:numPr>
      </w:pPr>
      <w:r>
        <w:t xml:space="preserve">☐</w:t>
      </w:r>
      <w:r>
        <w:t xml:space="preserve"> </w:t>
      </w:r>
      <w:r>
        <w:rPr>
          <w:b/>
          <w:bCs/>
        </w:rPr>
        <w:t xml:space="preserve">اليوم 4-5</w:t>
      </w:r>
      <w:r>
        <w:t xml:space="preserve">: تنفيذ Content Security Policy</w:t>
      </w:r>
    </w:p>
    <w:p>
      <w:pPr>
        <w:pStyle w:val="SourceCode"/>
      </w:pPr>
      <w:r>
        <w:rPr>
          <w:rStyle w:val="VerbatimChar"/>
        </w:rPr>
        <w:t xml:space="preserve">Content-Security-Policy: default-src 'self'; </w:t>
      </w:r>
      <w:r>
        <w:br/>
      </w:r>
      <w:r>
        <w:rPr>
          <w:rStyle w:val="VerbatimChar"/>
        </w:rPr>
        <w:t xml:space="preserve">script-src 'self' 'unsafe-inline' https://cdnjs.cloudflare.com https://fonts.googleapis.com; </w:t>
      </w:r>
      <w:r>
        <w:br/>
      </w:r>
      <w:r>
        <w:rPr>
          <w:rStyle w:val="VerbatimChar"/>
        </w:rPr>
        <w:t xml:space="preserve">style-src 'self' 'unsafe-inline' https://fonts.googleapis.com;</w:t>
      </w:r>
      <w:r>
        <w:br/>
      </w:r>
      <w:r>
        <w:rPr>
          <w:rStyle w:val="VerbatimChar"/>
        </w:rPr>
        <w:t xml:space="preserve">img-src 'self' data: https: https://secure.gravatar.com;</w:t>
      </w:r>
      <w:r>
        <w:br/>
      </w:r>
      <w:r>
        <w:rPr>
          <w:rStyle w:val="VerbatimChar"/>
        </w:rPr>
        <w:t xml:space="preserve">frame-ancestors 'none';</w:t>
      </w:r>
      <w:r>
        <w:br/>
      </w:r>
      <w:r>
        <w:rPr>
          <w:rStyle w:val="VerbatimChar"/>
        </w:rPr>
        <w:t xml:space="preserve">base-uri 'self';</w:t>
      </w:r>
    </w:p>
    <w:p>
      <w:pPr>
        <w:pStyle w:val="Compact"/>
        <w:numPr>
          <w:ilvl w:val="0"/>
          <w:numId w:val="1039"/>
        </w:numPr>
      </w:pPr>
      <w:r>
        <w:t xml:space="preserve">☐</w:t>
      </w:r>
      <w:r>
        <w:t xml:space="preserve"> </w:t>
      </w:r>
      <w:r>
        <w:rPr>
          <w:b/>
          <w:bCs/>
        </w:rPr>
        <w:t xml:space="preserve">اليوم السادس</w:t>
      </w:r>
      <w:r>
        <w:t xml:space="preserve">: تكوين الحماية من clickjacking</w:t>
      </w:r>
    </w:p>
    <w:p>
      <w:pPr>
        <w:pStyle w:val="SourceCode"/>
      </w:pPr>
      <w:r>
        <w:rPr>
          <w:rStyle w:val="VerbatimChar"/>
        </w:rPr>
        <w:t xml:space="preserve">X-Frame-Options: DENY</w:t>
      </w:r>
    </w:p>
    <w:p>
      <w:pPr>
        <w:pStyle w:val="Compact"/>
        <w:numPr>
          <w:ilvl w:val="0"/>
          <w:numId w:val="1040"/>
        </w:numPr>
      </w:pPr>
      <w:r>
        <w:t xml:space="preserve">☐</w:t>
      </w:r>
      <w:r>
        <w:t xml:space="preserve"> </w:t>
      </w:r>
      <w:r>
        <w:rPr>
          <w:b/>
          <w:bCs/>
        </w:rPr>
        <w:t xml:space="preserve">اليوم السادس</w:t>
      </w:r>
      <w:r>
        <w:t xml:space="preserve">: تكوين HSTS</w:t>
      </w:r>
    </w:p>
    <w:p>
      <w:pPr>
        <w:pStyle w:val="SourceCode"/>
      </w:pPr>
      <w:r>
        <w:rPr>
          <w:rStyle w:val="VerbatimChar"/>
        </w:rPr>
        <w:t xml:space="preserve">Strict-Transport-Security: max-age=31536000; includeSubDomains; preload</w:t>
      </w:r>
    </w:p>
    <w:p>
      <w:pPr>
        <w:pStyle w:val="Compact"/>
        <w:numPr>
          <w:ilvl w:val="0"/>
          <w:numId w:val="1041"/>
        </w:numPr>
      </w:pPr>
      <w:r>
        <w:t xml:space="preserve">☐</w:t>
      </w:r>
      <w:r>
        <w:t xml:space="preserve"> </w:t>
      </w:r>
      <w:r>
        <w:rPr>
          <w:b/>
          <w:bCs/>
        </w:rPr>
        <w:t xml:space="preserve">اليوم السابع</w:t>
      </w:r>
      <w:r>
        <w:t xml:space="preserve">: اختبار والتحقق من التغييرات</w:t>
      </w:r>
    </w:p>
    <w:bookmarkEnd w:id="58"/>
    <w:bookmarkStart w:id="59" w:name="Xf6e298e5547a11972fcd2597d67c6eca95eeb1e"/>
    <w:p>
      <w:pPr>
        <w:pStyle w:val="Heading2"/>
      </w:pPr>
      <w:r>
        <w:t xml:space="preserve">المرحلة الثانية: الإصلاحات متوسطة الأولوية (8-30 يوماً)</w:t>
      </w:r>
    </w:p>
    <w:p>
      <w:pPr>
        <w:pStyle w:val="FirstParagraph"/>
      </w:pPr>
      <w:r>
        <w:rPr>
          <w:b/>
          <w:bCs/>
        </w:rPr>
        <w:t xml:space="preserve">الأسبوع الثاني: Subresource Integrity</w:t>
      </w:r>
    </w:p>
    <w:p>
      <w:pPr>
        <w:pStyle w:val="Compact"/>
        <w:numPr>
          <w:ilvl w:val="0"/>
          <w:numId w:val="1042"/>
        </w:numPr>
      </w:pPr>
      <w:r>
        <w:t xml:space="preserve">☐ تنفيذ SRI لجميع الموارد الخارجية</w:t>
      </w:r>
    </w:p>
    <w:p>
      <w:pPr>
        <w:pStyle w:val="SourceCode"/>
      </w:pP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rPr>
          <w:rStyle w:val="OtherTok"/>
        </w:rPr>
        <w:t xml:space="preserve"> </w:t>
      </w:r>
      <w:r>
        <w:br/>
      </w:r>
      <w:r>
        <w:rPr>
          <w:rStyle w:val="OtherTok"/>
        </w:rPr>
        <w:t xml:space="preserve">      integrity</w:t>
      </w:r>
      <w:r>
        <w:rPr>
          <w:rStyle w:val="OperatorTok"/>
        </w:rPr>
        <w:t xml:space="preserve">=</w:t>
      </w:r>
      <w:r>
        <w:rPr>
          <w:rStyle w:val="StringTok"/>
        </w:rPr>
        <w:t xml:space="preserve">"sha384-hash"</w:t>
      </w:r>
      <w:r>
        <w:rPr>
          <w:rStyle w:val="OtherTok"/>
        </w:rPr>
        <w:t xml:space="preserve"> </w:t>
      </w:r>
      <w:r>
        <w:br/>
      </w:r>
      <w:r>
        <w:rPr>
          <w:rStyle w:val="OtherTok"/>
        </w:rPr>
        <w:t xml:space="preserve">      crossorigin</w:t>
      </w:r>
      <w:r>
        <w:rPr>
          <w:rStyle w:val="OperatorTok"/>
        </w:rPr>
        <w:t xml:space="preserve">=</w:t>
      </w:r>
      <w:r>
        <w:rPr>
          <w:rStyle w:val="StringTok"/>
        </w:rPr>
        <w:t xml:space="preserve">"anonymous"</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rPr>
          <w:rStyle w:val="OtherTok"/>
        </w:rPr>
        <w:t xml:space="preserve"> </w:t>
      </w:r>
      <w:r>
        <w:br/>
      </w:r>
      <w:r>
        <w:rPr>
          <w:rStyle w:val="OtherTok"/>
        </w:rPr>
        <w:t xml:space="preserve">        integrity</w:t>
      </w:r>
      <w:r>
        <w:rPr>
          <w:rStyle w:val="OperatorTok"/>
        </w:rPr>
        <w:t xml:space="preserve">=</w:t>
      </w:r>
      <w:r>
        <w:rPr>
          <w:rStyle w:val="StringTok"/>
        </w:rPr>
        <w:t xml:space="preserve">"sha384-vtXRMe3mGCbOeY7l30aIg8H9p3GdeSe4IFlP6G8JMa7o7lXvnz3GFKzPxzJdPfGK"</w:t>
      </w:r>
      <w:r>
        <w:rPr>
          <w:rStyle w:val="OtherTok"/>
        </w:rPr>
        <w:t xml:space="preserve"> </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الأسبوع الثالث: رؤوس أمان إضافية</w:t>
      </w:r>
    </w:p>
    <w:p>
      <w:pPr>
        <w:pStyle w:val="Compact"/>
        <w:numPr>
          <w:ilvl w:val="0"/>
          <w:numId w:val="1043"/>
        </w:numPr>
      </w:pPr>
      <w:r>
        <w:t xml:space="preserve">☐ تنفيذ X-Content-Type-Options</w:t>
      </w:r>
    </w:p>
    <w:p>
      <w:pPr>
        <w:pStyle w:val="SourceCode"/>
      </w:pPr>
      <w:r>
        <w:rPr>
          <w:rStyle w:val="VerbatimChar"/>
        </w:rPr>
        <w:t xml:space="preserve">X-Content-Type-Options: nosniff</w:t>
      </w:r>
    </w:p>
    <w:p>
      <w:pPr>
        <w:pStyle w:val="Compact"/>
        <w:numPr>
          <w:ilvl w:val="0"/>
          <w:numId w:val="1044"/>
        </w:numPr>
      </w:pPr>
      <w:r>
        <w:t xml:space="preserve">☐ تكوين رؤوس إضافية</w:t>
      </w:r>
    </w:p>
    <w:p>
      <w:pPr>
        <w:pStyle w:val="SourceCode"/>
      </w:pPr>
      <w:r>
        <w:rPr>
          <w:rStyle w:val="VerbatimChar"/>
        </w:rPr>
        <w:t xml:space="preserve">X-XSS-Protection: 1; mode=block</w:t>
      </w:r>
      <w:r>
        <w:br/>
      </w:r>
      <w:r>
        <w:rPr>
          <w:rStyle w:val="VerbatimChar"/>
        </w:rPr>
        <w:t xml:space="preserve">Referrer-Policy: strict-origin-when-cross-origin</w:t>
      </w:r>
      <w:r>
        <w:br/>
      </w:r>
      <w:r>
        <w:rPr>
          <w:rStyle w:val="VerbatimChar"/>
        </w:rPr>
        <w:t xml:space="preserve">Permissions-Policy: geolocation=(), microphone=(), camera=()</w:t>
      </w:r>
    </w:p>
    <w:p>
      <w:pPr>
        <w:pStyle w:val="FirstParagraph"/>
      </w:pPr>
      <w:r>
        <w:rPr>
          <w:b/>
          <w:bCs/>
        </w:rPr>
        <w:t xml:space="preserve">الأسبوع الرابع: مراجعة المكونات</w:t>
      </w:r>
    </w:p>
    <w:p>
      <w:pPr>
        <w:pStyle w:val="Compact"/>
        <w:numPr>
          <w:ilvl w:val="0"/>
          <w:numId w:val="1045"/>
        </w:numPr>
      </w:pPr>
      <w:r>
        <w:t xml:space="preserve">☐ التحقق من إصدارات WordPress وPHP وجميع الإضافات</w:t>
      </w:r>
    </w:p>
    <w:p>
      <w:pPr>
        <w:pStyle w:val="Compact"/>
        <w:numPr>
          <w:ilvl w:val="0"/>
          <w:numId w:val="1045"/>
        </w:numPr>
      </w:pPr>
      <w:r>
        <w:t xml:space="preserve">☐ تحديث المكونات القديمة</w:t>
      </w:r>
    </w:p>
    <w:p>
      <w:pPr>
        <w:pStyle w:val="Compact"/>
        <w:numPr>
          <w:ilvl w:val="0"/>
          <w:numId w:val="1045"/>
        </w:numPr>
      </w:pPr>
      <w:r>
        <w:t xml:space="preserve">☐ إزالة الإضافات والقوالب غير المستخدمة</w:t>
      </w:r>
    </w:p>
    <w:p>
      <w:pPr>
        <w:pStyle w:val="Compact"/>
        <w:numPr>
          <w:ilvl w:val="0"/>
          <w:numId w:val="1045"/>
        </w:numPr>
      </w:pPr>
      <w:r>
        <w:t xml:space="preserve">☐ تكوين التحديثات الأمنية التلقائية</w:t>
      </w:r>
    </w:p>
    <w:bookmarkEnd w:id="59"/>
    <w:bookmarkStart w:id="60" w:name="X2b0d9bada93271336ceeaef96f59b33cb35650d"/>
    <w:p>
      <w:pPr>
        <w:pStyle w:val="Heading2"/>
      </w:pPr>
      <w:r>
        <w:t xml:space="preserve">المرحلة الثالثة: التحسينات طويلة المدى (31-90 يوماً)</w:t>
      </w:r>
    </w:p>
    <w:p>
      <w:pPr>
        <w:pStyle w:val="FirstParagraph"/>
      </w:pPr>
      <w:r>
        <w:rPr>
          <w:b/>
          <w:bCs/>
        </w:rPr>
        <w:t xml:space="preserve">الشهر الثاني: المراقبة والتسجيل</w:t>
      </w:r>
    </w:p>
    <w:p>
      <w:pPr>
        <w:pStyle w:val="Compact"/>
        <w:numPr>
          <w:ilvl w:val="0"/>
          <w:numId w:val="1046"/>
        </w:numPr>
      </w:pPr>
      <w:r>
        <w:t xml:space="preserve">☐ تنفيذ نظام مراقبة أمنية (SIEM)</w:t>
      </w:r>
    </w:p>
    <w:p>
      <w:pPr>
        <w:pStyle w:val="Compact"/>
        <w:numPr>
          <w:ilvl w:val="0"/>
          <w:numId w:val="1046"/>
        </w:numPr>
      </w:pPr>
      <w:r>
        <w:t xml:space="preserve">☐ تكوين التسجيل المركزي</w:t>
      </w:r>
    </w:p>
    <w:p>
      <w:pPr>
        <w:pStyle w:val="Compact"/>
        <w:numPr>
          <w:ilvl w:val="0"/>
          <w:numId w:val="1046"/>
        </w:numPr>
      </w:pPr>
      <w:r>
        <w:t xml:space="preserve">☐ إنشاء لوحات معلومات أمنية</w:t>
      </w:r>
    </w:p>
    <w:p>
      <w:pPr>
        <w:pStyle w:val="Compact"/>
        <w:numPr>
          <w:ilvl w:val="0"/>
          <w:numId w:val="1046"/>
        </w:numPr>
      </w:pPr>
      <w:r>
        <w:t xml:space="preserve">☐ إعداد تنبيهات للأنشطة المشبوهة</w:t>
      </w:r>
    </w:p>
    <w:p>
      <w:pPr>
        <w:pStyle w:val="FirstParagraph"/>
      </w:pPr>
      <w:r>
        <w:rPr>
          <w:b/>
          <w:bCs/>
        </w:rPr>
        <w:t xml:space="preserve">الشهر الثالث: الإجراءات والسياسات</w:t>
      </w:r>
    </w:p>
    <w:p>
      <w:pPr>
        <w:pStyle w:val="Compact"/>
        <w:numPr>
          <w:ilvl w:val="0"/>
          <w:numId w:val="1047"/>
        </w:numPr>
      </w:pPr>
      <w:r>
        <w:t xml:space="preserve">☐ تطوير سياسة أمن المعلومات</w:t>
      </w:r>
    </w:p>
    <w:p>
      <w:pPr>
        <w:pStyle w:val="Compact"/>
        <w:numPr>
          <w:ilvl w:val="0"/>
          <w:numId w:val="1047"/>
        </w:numPr>
      </w:pPr>
      <w:r>
        <w:t xml:space="preserve">☐ إنشاء إجراءات الاستجابة للحوادث</w:t>
      </w:r>
    </w:p>
    <w:p>
      <w:pPr>
        <w:pStyle w:val="Compact"/>
        <w:numPr>
          <w:ilvl w:val="0"/>
          <w:numId w:val="1047"/>
        </w:numPr>
      </w:pPr>
      <w:r>
        <w:t xml:space="preserve">☐ تطوير خطة الاستعادة بعد الحوادث</w:t>
      </w:r>
    </w:p>
    <w:p>
      <w:pPr>
        <w:pStyle w:val="Compact"/>
        <w:numPr>
          <w:ilvl w:val="0"/>
          <w:numId w:val="1047"/>
        </w:numPr>
      </w:pPr>
      <w:r>
        <w:t xml:space="preserve">☐ تدريب الموظفين على أساسيات الأمن السيبراني</w:t>
      </w:r>
    </w:p>
    <w:p>
      <w:pPr>
        <w:pStyle w:val="Compact"/>
        <w:numPr>
          <w:ilvl w:val="0"/>
          <w:numId w:val="1047"/>
        </w:numPr>
      </w:pPr>
      <w:r>
        <w:t xml:space="preserve">☐ اختبارات اختراق دورية</w:t>
      </w:r>
    </w:p>
    <w:bookmarkEnd w:id="60"/>
    <w:bookmarkEnd w:id="61"/>
    <w:bookmarkStart w:id="66" w:name="الخلاصة"/>
    <w:p>
      <w:pPr>
        <w:pStyle w:val="Heading1"/>
      </w:pPr>
      <w:r>
        <w:t xml:space="preserve">الخلاصة</w:t>
      </w:r>
    </w:p>
    <w:p>
      <w:pPr>
        <w:pStyle w:val="FirstParagraph"/>
      </w:pPr>
      <w:r>
        <w:t xml:space="preserve">كشف تحليل أمان موقع</w:t>
      </w:r>
      <w:r>
        <w:t xml:space="preserve"> </w:t>
      </w:r>
      <w:hyperlink r:id="rId10">
        <w:r>
          <w:rPr>
            <w:rStyle w:val="Hyperlink"/>
          </w:rPr>
          <w:t xml:space="preserve">https://example.com</w:t>
        </w:r>
      </w:hyperlink>
      <w:r>
        <w:t xml:space="preserve"> </w:t>
      </w:r>
      <w:r>
        <w:t xml:space="preserve">عن</w:t>
      </w:r>
      <w:r>
        <w:t xml:space="preserve"> </w:t>
      </w:r>
      <w:r>
        <w:rPr>
          <w:b/>
          <w:bCs/>
        </w:rPr>
        <w:t xml:space="preserve">أوجه قصور حرجة</w:t>
      </w:r>
      <w:r>
        <w:t xml:space="preserve"> </w:t>
      </w:r>
      <w:r>
        <w:t xml:space="preserve">في حماية المعلومات. الموقع</w:t>
      </w:r>
      <w:r>
        <w:t xml:space="preserve"> </w:t>
      </w:r>
      <w:r>
        <w:rPr>
          <w:b/>
          <w:bCs/>
        </w:rPr>
        <w:t xml:space="preserve">غير متوافق</w:t>
      </w:r>
      <w:r>
        <w:t xml:space="preserve"> </w:t>
      </w:r>
      <w:r>
        <w:t xml:space="preserve">مع المتطلبات الأساسية للمعايير الدولية للأمان OWASP Top 10 2021 وNIST CSF 2.0 ومعايير Microsoft Security Baseline.</w:t>
      </w:r>
    </w:p>
    <w:bookmarkStart w:id="62" w:name="تقييم-المخاطر-الحرج"/>
    <w:p>
      <w:pPr>
        <w:pStyle w:val="Heading2"/>
      </w:pPr>
      <w:r>
        <w:t xml:space="preserve">تقييم المخاطر الحرج:</w:t>
      </w:r>
    </w:p>
    <w:p>
      <w:pPr>
        <w:pStyle w:val="Compact"/>
        <w:numPr>
          <w:ilvl w:val="0"/>
          <w:numId w:val="1048"/>
        </w:numPr>
      </w:pPr>
      <w:r>
        <w:rPr>
          <w:b/>
          <w:bCs/>
        </w:rPr>
        <w:t xml:space="preserve">مستوى المخاطر الحالي</w:t>
      </w:r>
      <w:r>
        <w:t xml:space="preserve">: 🔴</w:t>
      </w:r>
      <w:r>
        <w:t xml:space="preserve"> </w:t>
      </w:r>
      <w:r>
        <w:rPr>
          <w:b/>
          <w:bCs/>
        </w:rPr>
        <w:t xml:space="preserve">حرج</w:t>
      </w:r>
    </w:p>
    <w:p>
      <w:pPr>
        <w:pStyle w:val="Compact"/>
        <w:numPr>
          <w:ilvl w:val="0"/>
          <w:numId w:val="1048"/>
        </w:numPr>
      </w:pPr>
      <w:r>
        <w:rPr>
          <w:b/>
          <w:bCs/>
        </w:rPr>
        <w:t xml:space="preserve">التهديد الأساسي</w:t>
      </w:r>
      <w:r>
        <w:t xml:space="preserve">: تسريب البيانات الشخصية للمستخدمين</w:t>
      </w:r>
    </w:p>
    <w:p>
      <w:pPr>
        <w:pStyle w:val="Compact"/>
        <w:numPr>
          <w:ilvl w:val="0"/>
          <w:numId w:val="1048"/>
        </w:numPr>
      </w:pPr>
      <w:r>
        <w:rPr>
          <w:b/>
          <w:bCs/>
        </w:rPr>
        <w:t xml:space="preserve">المخاطر التنظيمية</w:t>
      </w:r>
      <w:r>
        <w:t xml:space="preserve">: غرامات GDPR عالية (تصل إلى 4% من الإيرادات السنوية)</w:t>
      </w:r>
    </w:p>
    <w:p>
      <w:pPr>
        <w:pStyle w:val="Compact"/>
        <w:numPr>
          <w:ilvl w:val="0"/>
          <w:numId w:val="1048"/>
        </w:numPr>
      </w:pPr>
      <w:r>
        <w:rPr>
          <w:b/>
          <w:bCs/>
        </w:rPr>
        <w:t xml:space="preserve">المخاطر السمعية</w:t>
      </w:r>
      <w:r>
        <w:t xml:space="preserve">: فقدان جسيم لثقة العملاء</w:t>
      </w:r>
    </w:p>
    <w:p>
      <w:pPr>
        <w:pStyle w:val="Compact"/>
        <w:numPr>
          <w:ilvl w:val="0"/>
          <w:numId w:val="1048"/>
        </w:numPr>
      </w:pPr>
      <w:r>
        <w:rPr>
          <w:b/>
          <w:bCs/>
        </w:rPr>
        <w:t xml:space="preserve">المخاطر التشغيلية</w:t>
      </w:r>
      <w:r>
        <w:t xml:space="preserve">: إمكانية تعليق الأعمال</w:t>
      </w:r>
    </w:p>
    <w:bookmarkEnd w:id="62"/>
    <w:bookmarkStart w:id="63" w:name="الامتثال-للمعايير"/>
    <w:p>
      <w:pPr>
        <w:pStyle w:val="Heading2"/>
      </w:pPr>
      <w:r>
        <w:t xml:space="preserve">الامتثال للمعايير:</w:t>
      </w:r>
    </w:p>
    <w:tbl>
      <w:tblPr>
        <w:tblStyle w:val="Table"/>
        <w:tblW w:w="0" w:type="auto"/>
        <w:tblLook w:val="0020" w:firstRow="1" w:lastRow="0" w:firstColumn="0" w:lastColumn="0" w:noHBand="0" w:noVBand="0"/>
      </w:tblPr>
      <w:tblGrid>
        <w:gridCol w:w="2640"/>
        <w:gridCol w:w="2640"/>
        <w:gridCol w:w="2640"/>
      </w:tblGrid>
      <w:tr>
        <w:trPr>
          <w:tblHeader/>
        </w:trPr>
        <w:tc>
          <w:tcPr/>
          <w:p>
            <w:pPr>
              <w:pStyle w:val="Compact"/>
              <w:jc w:val="left"/>
            </w:pPr>
            <w:r>
              <w:t xml:space="preserve">المعيار</w:t>
            </w:r>
          </w:p>
        </w:tc>
        <w:tc>
          <w:tcPr/>
          <w:p>
            <w:pPr>
              <w:pStyle w:val="Compact"/>
              <w:jc w:val="left"/>
            </w:pPr>
            <w:r>
              <w:t xml:space="preserve">مستوى الامتثال</w:t>
            </w:r>
          </w:p>
        </w:tc>
        <w:tc>
          <w:tcPr/>
          <w:p>
            <w:pPr>
              <w:pStyle w:val="Compact"/>
              <w:jc w:val="left"/>
            </w:pPr>
            <w:r>
              <w:t xml:space="preserve">المشاكل الحرجة</w:t>
            </w:r>
          </w:p>
        </w:tc>
      </w:tr>
      <w:tr>
        <w:tc>
          <w:tcPr/>
          <w:p>
            <w:pPr>
              <w:pStyle w:val="Compact"/>
              <w:jc w:val="left"/>
            </w:pPr>
            <w:r>
              <w:rPr>
                <w:b/>
                <w:bCs/>
              </w:rPr>
              <w:t xml:space="preserve">OWASP Top 10 2021</w:t>
            </w:r>
          </w:p>
        </w:tc>
        <w:tc>
          <w:tcPr/>
          <w:p>
            <w:pPr>
              <w:pStyle w:val="Compact"/>
              <w:jc w:val="left"/>
            </w:pPr>
            <w:r>
              <w:t xml:space="preserve">20%</w:t>
            </w:r>
          </w:p>
        </w:tc>
        <w:tc>
          <w:tcPr/>
          <w:p>
            <w:pPr>
              <w:pStyle w:val="Compact"/>
              <w:jc w:val="left"/>
            </w:pPr>
            <w:r>
              <w:t xml:space="preserve">A01, A05, A08, A09</w:t>
            </w:r>
          </w:p>
        </w:tc>
      </w:tr>
      <w:tr>
        <w:tc>
          <w:tcPr/>
          <w:p>
            <w:pPr>
              <w:pStyle w:val="Compact"/>
              <w:jc w:val="left"/>
            </w:pPr>
            <w:r>
              <w:rPr>
                <w:b/>
                <w:bCs/>
              </w:rPr>
              <w:t xml:space="preserve">NIST CSF 2.0</w:t>
            </w:r>
          </w:p>
        </w:tc>
        <w:tc>
          <w:tcPr/>
          <w:p>
            <w:pPr>
              <w:pStyle w:val="Compact"/>
              <w:jc w:val="left"/>
            </w:pPr>
            <w:r>
              <w:t xml:space="preserve">19%</w:t>
            </w:r>
          </w:p>
        </w:tc>
        <w:tc>
          <w:tcPr/>
          <w:p>
            <w:pPr>
              <w:pStyle w:val="Compact"/>
              <w:jc w:val="left"/>
            </w:pPr>
            <w:r>
              <w:t xml:space="preserve">جميع الوظائف عدا التحديد الجزئي</w:t>
            </w:r>
          </w:p>
        </w:tc>
      </w:tr>
      <w:tr>
        <w:tc>
          <w:tcPr/>
          <w:p>
            <w:pPr>
              <w:pStyle w:val="Compact"/>
              <w:jc w:val="left"/>
            </w:pPr>
            <w:r>
              <w:rPr>
                <w:b/>
                <w:bCs/>
              </w:rPr>
              <w:t xml:space="preserve">Microsoft Security Baseline</w:t>
            </w:r>
          </w:p>
        </w:tc>
        <w:tc>
          <w:tcPr/>
          <w:p>
            <w:pPr>
              <w:pStyle w:val="Compact"/>
              <w:jc w:val="left"/>
            </w:pPr>
            <w:r>
              <w:t xml:space="preserve">15%</w:t>
            </w:r>
          </w:p>
        </w:tc>
        <w:tc>
          <w:tcPr/>
          <w:p>
            <w:pPr>
              <w:pStyle w:val="Compact"/>
              <w:jc w:val="left"/>
            </w:pPr>
            <w:r>
              <w:t xml:space="preserve">النقل، المحتوى، البيانات</w:t>
            </w:r>
          </w:p>
        </w:tc>
      </w:tr>
    </w:tbl>
    <w:bookmarkEnd w:id="63"/>
    <w:bookmarkStart w:id="64" w:name="التوصيات-الرئيسية"/>
    <w:p>
      <w:pPr>
        <w:pStyle w:val="Heading2"/>
      </w:pPr>
      <w:r>
        <w:t xml:space="preserve">التوصيات الرئيسية:</w:t>
      </w:r>
    </w:p>
    <w:p>
      <w:pPr>
        <w:pStyle w:val="Compact"/>
        <w:numPr>
          <w:ilvl w:val="0"/>
          <w:numId w:val="1049"/>
        </w:numPr>
      </w:pPr>
      <w:r>
        <w:rPr>
          <w:b/>
          <w:bCs/>
        </w:rPr>
        <w:t xml:space="preserve">المعالجة الفورية</w:t>
      </w:r>
      <w:r>
        <w:t xml:space="preserve"> </w:t>
      </w:r>
      <w:r>
        <w:t xml:space="preserve">لتسريب البيانات الشخصية (0-3 أيام)</w:t>
      </w:r>
    </w:p>
    <w:p>
      <w:pPr>
        <w:pStyle w:val="Compact"/>
        <w:numPr>
          <w:ilvl w:val="0"/>
          <w:numId w:val="1049"/>
        </w:numPr>
      </w:pPr>
      <w:r>
        <w:rPr>
          <w:b/>
          <w:bCs/>
        </w:rPr>
        <w:t xml:space="preserve">تنفيذ آليات الحماية الأساسية</w:t>
      </w:r>
      <w:r>
        <w:t xml:space="preserve"> </w:t>
      </w:r>
      <w:r>
        <w:t xml:space="preserve">لتطبيق الويب (4-7 أيام)</w:t>
      </w:r>
    </w:p>
    <w:p>
      <w:pPr>
        <w:pStyle w:val="Compact"/>
        <w:numPr>
          <w:ilvl w:val="0"/>
          <w:numId w:val="1049"/>
        </w:numPr>
      </w:pPr>
      <w:r>
        <w:rPr>
          <w:b/>
          <w:bCs/>
        </w:rPr>
        <w:t xml:space="preserve">التحديث المنتظم</w:t>
      </w:r>
      <w:r>
        <w:t xml:space="preserve"> </w:t>
      </w:r>
      <w:r>
        <w:t xml:space="preserve">لجميع مكونات النظام</w:t>
      </w:r>
    </w:p>
    <w:p>
      <w:pPr>
        <w:pStyle w:val="Compact"/>
        <w:numPr>
          <w:ilvl w:val="0"/>
          <w:numId w:val="1049"/>
        </w:numPr>
      </w:pPr>
      <w:r>
        <w:rPr>
          <w:b/>
          <w:bCs/>
        </w:rPr>
        <w:t xml:space="preserve">إنشاء إجراءات</w:t>
      </w:r>
      <w:r>
        <w:t xml:space="preserve"> </w:t>
      </w:r>
      <w:r>
        <w:t xml:space="preserve">للمراقبة والاستجابة للحوادث</w:t>
      </w:r>
    </w:p>
    <w:p>
      <w:pPr>
        <w:pStyle w:val="Compact"/>
        <w:numPr>
          <w:ilvl w:val="0"/>
          <w:numId w:val="1049"/>
        </w:numPr>
      </w:pPr>
      <w:r>
        <w:rPr>
          <w:b/>
          <w:bCs/>
        </w:rPr>
        <w:t xml:space="preserve">تدريب الموظفين</w:t>
      </w:r>
      <w:r>
        <w:t xml:space="preserve"> </w:t>
      </w:r>
      <w:r>
        <w:t xml:space="preserve">على أساسيات أمن المعلومات</w:t>
      </w:r>
    </w:p>
    <w:bookmarkEnd w:id="64"/>
    <w:bookmarkStart w:id="65" w:name="توقعات-التحسن"/>
    <w:p>
      <w:pPr>
        <w:pStyle w:val="Heading2"/>
      </w:pPr>
      <w:r>
        <w:t xml:space="preserve">توقعات التحسن:</w:t>
      </w:r>
    </w:p>
    <w:p>
      <w:pPr>
        <w:pStyle w:val="Compact"/>
        <w:numPr>
          <w:ilvl w:val="0"/>
          <w:numId w:val="1050"/>
        </w:numPr>
      </w:pPr>
      <w:r>
        <w:rPr>
          <w:b/>
          <w:bCs/>
        </w:rPr>
        <w:t xml:space="preserve">بعد المرحلة الأولى</w:t>
      </w:r>
      <w:r>
        <w:t xml:space="preserve">: تقليل المخاطر إلى 🟡</w:t>
      </w:r>
      <w:r>
        <w:t xml:space="preserve"> </w:t>
      </w:r>
      <w:r>
        <w:rPr>
          <w:b/>
          <w:bCs/>
        </w:rPr>
        <w:t xml:space="preserve">متوسط</w:t>
      </w:r>
      <w:r>
        <w:t xml:space="preserve"> </w:t>
      </w:r>
      <w:r>
        <w:t xml:space="preserve">(إزالة الثغرات الحرجة)</w:t>
      </w:r>
    </w:p>
    <w:p>
      <w:pPr>
        <w:pStyle w:val="Compact"/>
        <w:numPr>
          <w:ilvl w:val="0"/>
          <w:numId w:val="1050"/>
        </w:numPr>
      </w:pPr>
      <w:r>
        <w:rPr>
          <w:b/>
          <w:bCs/>
        </w:rPr>
        <w:t xml:space="preserve">بعد المرحلة الثانية</w:t>
      </w:r>
      <w:r>
        <w:t xml:space="preserve">: تقليل المخاطر إلى 🔵</w:t>
      </w:r>
      <w:r>
        <w:t xml:space="preserve"> </w:t>
      </w:r>
      <w:r>
        <w:rPr>
          <w:b/>
          <w:bCs/>
        </w:rPr>
        <w:t xml:space="preserve">منخفض</w:t>
      </w:r>
      <w:r>
        <w:t xml:space="preserve"> </w:t>
      </w:r>
      <w:r>
        <w:t xml:space="preserve">(الحماية الأساسية)</w:t>
      </w:r>
    </w:p>
    <w:p>
      <w:pPr>
        <w:pStyle w:val="Compact"/>
        <w:numPr>
          <w:ilvl w:val="0"/>
          <w:numId w:val="1050"/>
        </w:numPr>
      </w:pPr>
      <w:r>
        <w:rPr>
          <w:b/>
          <w:bCs/>
        </w:rPr>
        <w:t xml:space="preserve">بعد المرحلة الثالثة</w:t>
      </w:r>
      <w:r>
        <w:t xml:space="preserve">: تحقيق مستوى أمان 🟢</w:t>
      </w:r>
      <w:r>
        <w:t xml:space="preserve"> </w:t>
      </w:r>
      <w:r>
        <w:rPr>
          <w:b/>
          <w:bCs/>
        </w:rPr>
        <w:t xml:space="preserve">مقبول</w:t>
      </w:r>
      <w:r>
        <w:t xml:space="preserve"> </w:t>
      </w:r>
      <w:r>
        <w:t xml:space="preserve">(امتثال للمعايير)</w:t>
      </w:r>
    </w:p>
    <w:p>
      <w:pPr>
        <w:pStyle w:val="FirstParagraph"/>
      </w:pPr>
      <w:r>
        <w:rPr>
          <w:b/>
          <w:bCs/>
        </w:rPr>
        <w:t xml:space="preserve">الخطوات التالية:</w:t>
      </w:r>
      <w:r>
        <w:t xml:space="preserve"> </w:t>
      </w:r>
      <w:r>
        <w:t xml:space="preserve">يُوصى</w:t>
      </w:r>
      <w:r>
        <w:t xml:space="preserve"> </w:t>
      </w:r>
      <w:r>
        <w:rPr>
          <w:b/>
          <w:bCs/>
        </w:rPr>
        <w:t xml:space="preserve">بالبدء فوراً</w:t>
      </w:r>
      <w:r>
        <w:t xml:space="preserve"> </w:t>
      </w:r>
      <w:r>
        <w:t xml:space="preserve">في تنفيذ المرحلة الأولى من خطة معالجة الثغرات، مع إيلاء اهتمام خاص لإزالة تسريب البيانات الشخصية وإخطار الجهات التنظيمية وفقاً لمتطلبات GDPR.</w:t>
      </w:r>
    </w:p>
    <w:bookmarkEnd w:id="65"/>
    <w:bookmarkEnd w:id="66"/>
    <w:bookmarkStart w:id="73" w:name="المراجع"/>
    <w:p>
      <w:pPr>
        <w:pStyle w:val="Heading1"/>
      </w:pPr>
      <w:r>
        <w:t xml:space="preserve">المراجع</w:t>
      </w:r>
    </w:p>
    <w:p>
      <w:pPr>
        <w:pStyle w:val="FirstParagraph"/>
      </w:pPr>
      <w:bookmarkStart w:id="67" w:name="ref-1"/>
      <w:bookmarkEnd w:id="67"/>
      <w:r>
        <w:t xml:space="preserve">[1] مؤسسة OWASP. (2024).</w:t>
      </w:r>
      <w:r>
        <w:t xml:space="preserve"> </w:t>
      </w:r>
      <w:r>
        <w:rPr>
          <w:i/>
          <w:iCs/>
        </w:rPr>
        <w:t xml:space="preserve">OWASP Zed Attack Proxy (ZAP)</w:t>
      </w:r>
      <w:r>
        <w:t xml:space="preserve">.</w:t>
      </w:r>
      <w:r>
        <w:t xml:space="preserve"> </w:t>
      </w:r>
      <w:hyperlink r:id="rId11">
        <w:r>
          <w:rPr>
            <w:rStyle w:val="Hyperlink"/>
          </w:rPr>
          <w:t xml:space="preserve">https://zaproxy.org</w:t>
        </w:r>
      </w:hyperlink>
    </w:p>
    <w:p>
      <w:pPr>
        <w:pStyle w:val="BodyText"/>
      </w:pPr>
      <w:bookmarkStart w:id="69" w:name="ref-2"/>
      <w:bookmarkEnd w:id="69"/>
      <w:r>
        <w:t xml:space="preserve">[2] مؤسسة OWASP. (2021).</w:t>
      </w:r>
      <w:r>
        <w:t xml:space="preserve"> </w:t>
      </w:r>
      <w:r>
        <w:rPr>
          <w:i/>
          <w:iCs/>
        </w:rPr>
        <w:t xml:space="preserve">OWASP Top 10:2021</w:t>
      </w:r>
      <w:r>
        <w:t xml:space="preserve">.</w:t>
      </w:r>
      <w:r>
        <w:t xml:space="preserve"> </w:t>
      </w:r>
      <w:hyperlink r:id="rId12">
        <w:r>
          <w:rPr>
            <w:rStyle w:val="Hyperlink"/>
          </w:rPr>
          <w:t xml:space="preserve">https://owasp.org/Top10/2021/</w:t>
        </w:r>
      </w:hyperlink>
    </w:p>
    <w:p>
      <w:pPr>
        <w:pStyle w:val="BodyText"/>
      </w:pPr>
      <w:bookmarkStart w:id="71" w:name="ref-3"/>
      <w:bookmarkEnd w:id="71"/>
      <w:r>
        <w:t xml:space="preserve">[3] NIST. (2024).</w:t>
      </w:r>
      <w:r>
        <w:t xml:space="preserve"> </w:t>
      </w:r>
      <w:r>
        <w:rPr>
          <w:i/>
          <w:iCs/>
        </w:rPr>
        <w:t xml:space="preserve">إطار عمل NIST للأمن السيبراني (CSF) 2.0</w:t>
      </w:r>
      <w:r>
        <w:t xml:space="preserve">.</w:t>
      </w:r>
      <w:r>
        <w:t xml:space="preserve"> </w:t>
      </w:r>
      <w:hyperlink r:id="rId13">
        <w:r>
          <w:rPr>
            <w:rStyle w:val="Hyperlink"/>
          </w:rPr>
          <w:t xml:space="preserve">https://www.nist.gov/publications/nist-cybersecurity-framework-csf-20</w:t>
        </w:r>
      </w:hyperlink>
    </w:p>
    <w:bookmarkEnd w:id="73"/>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1">
    <w:multiLevelType w:val="multilevel"/>
    <w:nsid w:val="0000A991"/>
    <w:lvl w:ilvl="0">
      <w:lvlJc w:val="left"/>
      <w:lvlText w:val="•"/>
      <w:numFmt w:val="bullet"/>
      <w:pPr>
        <w:ind w:hanging="480" w:left="720"/>
      </w:pPr>
    </w:lvl>
    <w:lvl w:ilvl="1">
      <w:lvlJc w:val="left"/>
      <w:lvlText w:val="–"/>
      <w:numFmt w:val="bullet"/>
      <w:pPr>
        <w:ind w:hanging="480" w:left="1440"/>
      </w:pPr>
    </w:lvl>
    <w:lvl w:ilvl="2">
      <w:lvlJc w:val="left"/>
      <w:lvlText w:val="•"/>
      <w:numFmt w:val="bullet"/>
      <w:pPr>
        <w:ind w:hanging="480" w:left="2160"/>
      </w:pPr>
    </w:lvl>
    <w:lvl w:ilvl="3">
      <w:lvlJc w:val="left"/>
      <w:lvlText w:val="–"/>
      <w:numFmt w:val="bullet"/>
      <w:pPr>
        <w:ind w:hanging="480" w:left="2880"/>
      </w:pPr>
    </w:lvl>
    <w:lvl w:ilvl="4">
      <w:lvlJc w:val="left"/>
      <w:lvlText w:val="•"/>
      <w:numFmt w:val="bullet"/>
      <w:pPr>
        <w:ind w:hanging="480" w:left="3600"/>
      </w:pPr>
    </w:lvl>
    <w:lvl w:ilvl="5">
      <w:lvlJc w:val="left"/>
      <w:lvlText w:val="–"/>
      <w:numFmt w:val="bullet"/>
      <w:pPr>
        <w:ind w:hanging="480" w:left="4320"/>
      </w:pPr>
    </w:lvl>
    <w:lvl w:ilvl="6">
      <w:lvlJc w:val="left"/>
      <w:lvlText w:val="•"/>
      <w:numFmt w:val="bullet"/>
      <w:pPr>
        <w:ind w:hanging="480" w:left="5040"/>
      </w:pPr>
    </w:lvl>
    <w:lvl w:ilvl="7">
      <w:lvlJc w:val="left"/>
      <w:lvlText w:val="–"/>
      <w:numFmt w:val="bullet"/>
      <w:pPr>
        <w:ind w:hanging="480" w:left="5760"/>
      </w:pPr>
    </w:lvl>
    <w:lvl w:ilvl="8">
      <w:lvlJc w:val="left"/>
      <w:lvlText w:val="•"/>
      <w:numFmt w:val="bullet"/>
      <w:pPr>
        <w:ind w:hanging="480" w:left="6480"/>
      </w:pPr>
    </w:lvl>
  </w:abstractNum>
  <w:abstractNum w:abstractNumId="99411">
    <w:multiLevelType w:val="multilevel"/>
    <w:nsid w:val="00A99411"/>
    <w:lvl w:ilvl="0">
      <w:lvlJc w:val="left"/>
      <w:lvlText w:val="%1."/>
      <w:numFmt w:val="decimal"/>
      <w:pPr>
        <w:ind w:hanging="480" w:left="720"/>
      </w:pPr>
      <w:start w:val="1"/>
    </w:lvl>
    <w:lvl w:ilvl="1">
      <w:lvlJc w:val="left"/>
      <w:lvlText w:val="%2."/>
      <w:numFmt w:val="decimal"/>
      <w:pPr>
        <w:ind w:hanging="480" w:left="1440"/>
      </w:pPr>
      <w:start w:val="1"/>
    </w:lvl>
    <w:lvl w:ilvl="2">
      <w:lvlJc w:val="left"/>
      <w:lvlText w:val="%3."/>
      <w:numFmt w:val="decimal"/>
      <w:pPr>
        <w:ind w:hanging="480" w:left="2160"/>
      </w:pPr>
      <w:start w:val="1"/>
    </w:lvl>
    <w:lvl w:ilvl="3">
      <w:lvlJc w:val="left"/>
      <w:lvlText w:val="%4."/>
      <w:numFmt w:val="decimal"/>
      <w:pPr>
        <w:ind w:hanging="480" w:left="2880"/>
      </w:pPr>
      <w:start w:val="1"/>
    </w:lvl>
    <w:lvl w:ilvl="4">
      <w:lvlJc w:val="left"/>
      <w:lvlText w:val="%5."/>
      <w:numFmt w:val="decimal"/>
      <w:pPr>
        <w:ind w:hanging="480" w:left="3600"/>
      </w:pPr>
      <w:start w:val="1"/>
    </w:lvl>
    <w:lvl w:ilvl="5">
      <w:lvlJc w:val="left"/>
      <w:lvlText w:val="%6."/>
      <w:numFmt w:val="decimal"/>
      <w:pPr>
        <w:ind w:hanging="480" w:left="4320"/>
      </w:pPr>
      <w:start w:val="1"/>
    </w:lvl>
    <w:lvl w:ilvl="6">
      <w:lvlJc w:val="left"/>
      <w:lvlText w:val="%7."/>
      <w:numFmt w:val="decimal"/>
      <w:pPr>
        <w:ind w:hanging="480" w:left="5040"/>
      </w:pPr>
      <w:start w:val="1"/>
    </w:lvl>
    <w:lvl w:ilvl="7">
      <w:lvlJc w:val="left"/>
      <w:lvlText w:val="%8."/>
      <w:numFmt w:val="decimal"/>
      <w:pPr>
        <w:ind w:hanging="480" w:left="5760"/>
      </w:pPr>
      <w:start w:val="1"/>
    </w:lvl>
    <w:lvl w:ilvl="8">
      <w:lvlJc w:val="left"/>
      <w:lvlText w:val="%9."/>
      <w:numFmt w:val="decimal"/>
      <w:pPr>
        <w:ind w:hanging="480" w:left="6480"/>
      </w:pPr>
      <w:start w:val="1"/>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footnote w:id="-1"/>
    <w:footnote w:id="0"/>
  </w:footnote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BodyText">
    <w:name w:val="Body Text"/>
    <w:basedOn w:val="Normal"/>
    <w:link w:val="BodyTextChar"/>
    <w:qFormat/>
    <w:pPr>
      <w:spacing w:after="180" w:before="180"/>
    </w:pPr>
  </w:style>
  <w:style w:type="paragraph" w:styleId="FirstParagraph" w:customStyle="1">
    <w:name w:val="First Paragraph"/>
    <w:basedOn w:val="BodyText"/>
    <w:next w:val="BodyText"/>
    <w:qFormat/>
  </w:style>
  <w:style w:type="paragraph" w:styleId="Compact" w:customStyle="1">
    <w:name w:val="Compact"/>
    <w:basedOn w:val="BodyText"/>
    <w:qFormat/>
    <w:pPr>
      <w:spacing w:after="36" w:before="36"/>
    </w:pPr>
  </w:style>
  <w:style w:type="paragraph" w:styleId="Title">
    <w:name w:val="Title"/>
    <w:basedOn w:val="Normal"/>
    <w:next w:val="BodyText"/>
    <w:qFormat/>
    <w:pPr>
      <w:keepNext w:val="true"/>
      <w:keepLines w:val="true"/>
      <w:spacing w:after="240" w:before="48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val="true"/>
      <w:spacing w:after="240" w:before="240"/>
      <w:jc w:val="center"/>
    </w:pPr>
    <w:rPr>
      <w:sz w:val="30"/>
      <w:szCs w:val="30"/>
    </w:rPr>
  </w:style>
  <w:style w:type="paragraph" w:styleId="Author" w:customStyle="1">
    <w:name w:val="Author"/>
    <w:next w:val="BodyText"/>
    <w:qFormat/>
    <w:pPr>
      <w:keepNext w:val="true"/>
      <w:keepLines w:val="true"/>
      <w:jc w:val="center"/>
    </w:pPr>
  </w:style>
  <w:style w:type="paragraph" w:styleId="Date">
    <w:name w:val="Date"/>
    <w:next w:val="BodyText"/>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color w:val="345a8a"/>
      <w:sz w:val="20"/>
      <w:szCs w:val="20"/>
    </w:rPr>
  </w:style>
  <w:style w:type="paragraph" w:styleId="Abstract" w:customStyle="1">
    <w:name w:val="Abstract"/>
    <w:basedOn w:val="Normal"/>
    <w:next w:val="BodyText"/>
    <w:qFormat/>
    <w:pPr>
      <w:keepNext w:val="true"/>
      <w:keepLines w:val="true"/>
      <w:spacing w:after="300" w:before="100"/>
    </w:pPr>
    <w:rPr>
      <w:sz w:val="20"/>
      <w:szCs w:val="20"/>
    </w:rPr>
  </w:style>
  <w:style w:type="paragraph" w:styleId="Bibliography">
    <w:name w:val="Bibliography"/>
    <w:basedOn w:val="Normal"/>
    <w:next w:val="Bibliography"/>
    <w:qFormat/>
    <w:pPr/>
  </w:style>
  <w:style w:type="paragraph" w:styleId="Heading1">
    <w:name w:val="Heading 1"/>
    <w:basedOn w:val="Normal"/>
    <w:next w:val="BodyText"/>
    <w:uiPriority w:val="9"/>
    <w:qFormat/>
    <w:pPr>
      <w:keepNext w:val="true"/>
      <w:keepLines w:val="true"/>
      <w:spacing w:after="0" w:before="48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val="true"/>
      <w:spacing w:after="0" w:before="20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val="true"/>
      <w:spacing w:after="0" w:before="20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val="true"/>
      <w:spacing w:after="0" w:before="20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val="true"/>
      <w:spacing w:after="0" w:before="20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val="true"/>
      <w:spacing w:after="0" w:before="20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val="true"/>
      <w:spacing w:after="0" w:before="20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after="100" w:before="100"/>
      <w:ind w:right="480" w:firstLine="0" w:left="480"/>
    </w:pPr>
  </w:style>
  <w:style w:type="paragraph" w:styleId="FootnoteText">
    <w:name w:val="Footnote Text"/>
    <w:basedOn w:val="Normal"/>
    <w:next w:val="FootnoteText"/>
    <w:uiPriority w:val="9"/>
    <w:unhideWhenUsed/>
    <w:qFormat/>
  </w:style>
  <w:style w:type="paragraph" w:styleId="FootnoteBlockText">
    <w:name w:val="Footnote Block Text"/>
    <w:basedOn w:val="Footnote Text"/>
    <w:next w:val="Footnote Text"/>
    <w:uiPriority w:val="9"/>
    <w:unhideWhenUsed/>
    <w:qFormat/>
    <w:pPr>
      <w:spacing w:after="100" w:before="100"/>
      <w:ind w:right="480" w:firstLine="0" w:left="48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left w:w="108" w:type="dxa"/>
        <w:top w:w="0" w:type="dxa"/>
        <w:right w:w="108" w:type="dxa"/>
        <w:bottom w:w="0" w:type="dxa"/>
      </w:tblCellMar>
    </w:tblPr>
    <w:tblStylePr w:type="firstRow">
      <w:tblPr>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Caption">
    <w:name w:val="Caption"/>
    <w:basedOn w:val="Normal"/>
    <w:link w:val="BodyTextChar"/>
    <w:pPr>
      <w:spacing w:after="120" w:before="0"/>
    </w:pPr>
    <w:rPr>
      <w:i/>
    </w:rPr>
  </w:style>
  <w:style w:type="paragraph" w:styleId="TableCaption" w:customStyle="1">
    <w:name w:val="Table Caption"/>
    <w:basedOn w:val="Caption"/>
    <w:pPr>
      <w:keepNext w:val="true"/>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true"/>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example.com" TargetMode="External"/><Relationship Id="rId9" Type="http://schemas.openxmlformats.org/officeDocument/2006/relationships/hyperlink" Target="https://example.com" TargetMode="External"/><Relationship Id="rId10" Type="http://schemas.openxmlformats.org/officeDocument/2006/relationships/hyperlink" Target="https://example.com" TargetMode="External"/><Relationship Id="rId11" Type="http://schemas.openxmlformats.org/officeDocument/2006/relationships/hyperlink" Target="https://zaproxy.org" TargetMode="External"/><Relationship Id="rId12" Type="http://schemas.openxmlformats.org/officeDocument/2006/relationships/hyperlink" Target="https://owasp.org/Top10/2021/" TargetMode="External"/><Relationship Id="rId13" Type="http://schemas.openxmlformats.org/officeDocument/2006/relationships/hyperlink" Target="https://www.nist.gov/publications/nist-cybersecurity-framework-csf-20"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CharactersWithSpaces>583</CharactersWithSpaces>
  <Application>ONLYOFFICE/9.2.1.43</Application>
  <DocSecurity>0</DocSecurity>
  <Lines>12</Lines>
  <Paragraphs>8</Paragraphs>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الامتثال لمعايير الأمان: تحليل موقع example.com</dc:title>
  <dc:creator>أخصائي أمن المعلومات</dc:creator>
  <cp:keywords/>
  <dcterms:created xsi:type="dcterms:W3CDTF">2026-01-01T12:37:03Z</dcterms:created>
  <dcterms:modified xsi:type="dcterms:W3CDTF">2026-01-01T12:37:03Z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2025-12-31</vt:lpwstr>
  </property>
</Properties>
</file>