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تقرير</w:t>
      </w:r>
      <w:r>
        <w:t xml:space="preserve"> </w:t>
      </w:r>
      <w:r>
        <w:t xml:space="preserve">الأمن</w:t>
      </w:r>
      <w:r>
        <w:t xml:space="preserve"> </w:t>
      </w:r>
      <w:r>
        <w:t xml:space="preserve">السيبراني</w:t>
      </w:r>
      <w:r>
        <w:t xml:space="preserve"> </w:t>
      </w:r>
      <w:r>
        <w:t xml:space="preserve">التنفيذي:</w:t>
      </w:r>
      <w:r>
        <w:t xml:space="preserve"> </w:t>
      </w:r>
      <w:r>
        <w:t xml:space="preserve">تقييم</w:t>
      </w:r>
      <w:r>
        <w:t xml:space="preserve"> </w:t>
      </w:r>
      <w:r>
        <w:t xml:space="preserve">المخاطر</w:t>
      </w:r>
      <w:r>
        <w:t xml:space="preserve"> </w:t>
      </w:r>
      <w:r>
        <w:t xml:space="preserve">الحرجة</w:t>
      </w:r>
      <w:r>
        <w:t xml:space="preserve"> </w:t>
      </w:r>
      <w:r>
        <w:t xml:space="preserve">وخطة</w:t>
      </w:r>
      <w:r>
        <w:t xml:space="preserve"> </w:t>
      </w:r>
      <w:r>
        <w:t xml:space="preserve">العمل</w:t>
      </w:r>
      <w:r>
        <w:t xml:space="preserve"> </w:t>
      </w:r>
      <w:r>
        <w:t xml:space="preserve">الاستراتيجية</w:t>
      </w:r>
    </w:p>
    <w:p>
      <w:pPr>
        <w:pStyle w:val="Author"/>
      </w:pPr>
      <w:r>
        <w:t xml:space="preserve">كبير</w:t>
      </w:r>
      <w:r>
        <w:t xml:space="preserve"> </w:t>
      </w:r>
      <w:r>
        <w:t xml:space="preserve">مسؤولي</w:t>
      </w:r>
      <w:r>
        <w:t xml:space="preserve"> </w:t>
      </w:r>
      <w:r>
        <w:t xml:space="preserve">أمن</w:t>
      </w:r>
      <w:r>
        <w:t xml:space="preserve"> </w:t>
      </w:r>
      <w:r>
        <w:t xml:space="preserve">المعلومات</w:t>
      </w:r>
    </w:p>
    <w:p>
      <w:pPr>
        <w:pStyle w:val="Date"/>
      </w:pPr>
      <w:r>
        <w:t xml:space="preserve">2026-01-02</w:t>
      </w:r>
    </w:p>
    <w:bookmarkStart w:id="22" w:name="الملخص-التنفيذي"/>
    <w:p>
      <w:pPr>
        <w:pStyle w:val="Heading1"/>
      </w:pPr>
      <w:r>
        <w:t xml:space="preserve">الملخص التنفيذي</w:t>
      </w:r>
    </w:p>
    <w:p>
      <w:pPr>
        <w:pStyle w:val="FirstParagraph"/>
      </w:pPr>
      <w:r>
        <w:t xml:space="preserve">يقدم هذا التقرير</w:t>
      </w:r>
      <w:r>
        <w:t xml:space="preserve"> </w:t>
      </w:r>
      <w:r>
        <w:rPr>
          <w:b/>
          <w:bCs/>
        </w:rPr>
        <w:t xml:space="preserve">تقييماً حرجاً</w:t>
      </w:r>
      <w:r>
        <w:t xml:space="preserve"> </w:t>
      </w:r>
      <w:r>
        <w:t xml:space="preserve">لوضعية الأمن السيبراني في مؤسستنا بناءً على تدقيق أمني شامل أُجري في 30 ديسمبر 2025.</w:t>
      </w:r>
      <w:r>
        <w:t xml:space="preserve"> </w:t>
      </w:r>
      <w:r>
        <w:rPr>
          <w:b/>
          <w:bCs/>
        </w:rPr>
        <w:t xml:space="preserve">مطلوب تدخل تنفيذي فوري</w:t>
      </w:r>
      <w:r>
        <w:t xml:space="preserve"> </w:t>
      </w:r>
      <w:r>
        <w:t xml:space="preserve">لمعالجة ثغرات خطيرة تشكل تهديدات كبيرة لاستمرارية الأعمال والامتثال التنظيمي والسمعة المؤسسية.</w:t>
      </w:r>
    </w:p>
    <w:p>
      <w:pPr>
        <w:pStyle w:val="BlockText"/>
      </w:pPr>
      <w:r>
        <w:rPr>
          <w:b/>
          <w:bCs/>
        </w:rPr>
        <w:t xml:space="preserve">🚨 تنبيه حرج</w:t>
      </w:r>
      <w:r>
        <w:t xml:space="preserve">: تم اكتشاف تعرض للبيانات الشخصية. خطر مباشر لغرامات GDPR تصل إلى €20 مليون أو 4% من الإيرادات السنوية.</w:t>
      </w:r>
    </w:p>
    <w:bookmarkStart w:id="20" w:name="المخاطر-التجارية-الرئيسية"/>
    <w:p>
      <w:pPr>
        <w:pStyle w:val="Heading2"/>
      </w:pPr>
      <w:r>
        <w:t xml:space="preserve">المخاطر التجارية الرئيسية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فئة المخاطر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المستوى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التأثير المحتمل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الإطار الزمني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الغرامات التنظيمية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حرج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حتى €20 مليون (GDPR)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ساعة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الضرر السمعي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حرج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فقدان 30% من العملاء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أشهر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تعطل العمليات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عالي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$50,000/ساعة توقف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أثناء الهجوم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تكاليف خرق البيانات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عالي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$4.88 مليون متوسط التكلفة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فوري</w:t>
            </w:r>
          </w:p>
        </w:tc>
      </w:tr>
    </w:tbl>
    <w:bookmarkEnd w:id="20"/>
    <w:bookmarkStart w:id="21" w:name="الإجراءات-المطلوبة-فوراً"/>
    <w:p>
      <w:pPr>
        <w:pStyle w:val="Heading2"/>
      </w:pPr>
      <w:r>
        <w:t xml:space="preserve">الإجراءات المطلوبة فوراً</w:t>
      </w:r>
    </w:p>
    <w:p>
      <w:pPr>
        <w:pStyle w:val="FirstParagraph"/>
      </w:pPr>
      <w:r>
        <w:rPr>
          <w:b/>
          <w:bCs/>
        </w:rPr>
        <w:t xml:space="preserve">خلال 24 ساعة:</w:t>
      </w:r>
    </w:p>
    <w:p>
      <w:pPr>
        <w:pStyle w:val="Compact"/>
        <w:numPr>
          <w:ilvl w:val="0"/>
          <w:numId w:val="1001"/>
        </w:numPr>
      </w:pPr>
      <w:r>
        <w:t xml:space="preserve">الموافقة على ميزانية طوارئ بقيمة $150,000 لمعالجة الثغرات الحرجة</w:t>
      </w:r>
    </w:p>
    <w:p>
      <w:pPr>
        <w:pStyle w:val="Compact"/>
        <w:numPr>
          <w:ilvl w:val="0"/>
          <w:numId w:val="1001"/>
        </w:numPr>
      </w:pPr>
      <w:r>
        <w:t xml:space="preserve">تفعيل خطة الاتصالات الأزموية</w:t>
      </w:r>
    </w:p>
    <w:p>
      <w:pPr>
        <w:pStyle w:val="Compact"/>
        <w:numPr>
          <w:ilvl w:val="0"/>
          <w:numId w:val="1001"/>
        </w:numPr>
      </w:pPr>
      <w:r>
        <w:t xml:space="preserve">إخطار السلطات التنظيمية بالتعرض المحتمل للبيانات</w:t>
      </w:r>
    </w:p>
    <w:p>
      <w:pPr>
        <w:pStyle w:val="FirstParagraph"/>
      </w:pPr>
      <w:r>
        <w:rPr>
          <w:b/>
          <w:bCs/>
        </w:rPr>
        <w:t xml:space="preserve">خلال أسبوعين:</w:t>
      </w:r>
    </w:p>
    <w:p>
      <w:pPr>
        <w:pStyle w:val="Compact"/>
        <w:numPr>
          <w:ilvl w:val="0"/>
          <w:numId w:val="1002"/>
        </w:numPr>
      </w:pPr>
      <w:r>
        <w:t xml:space="preserve">الموافقة على برنامج الاستثمار الأمني الشامل ($950,000)</w:t>
      </w:r>
    </w:p>
    <w:p>
      <w:pPr>
        <w:pStyle w:val="Compact"/>
        <w:numPr>
          <w:ilvl w:val="0"/>
          <w:numId w:val="1002"/>
        </w:numPr>
      </w:pPr>
      <w:r>
        <w:t xml:space="preserve">بدء عملية توظيف كبير مسؤولي أمن المعلومات (CISO)</w:t>
      </w:r>
    </w:p>
    <w:p>
      <w:pPr>
        <w:pStyle w:val="Compact"/>
        <w:numPr>
          <w:ilvl w:val="0"/>
          <w:numId w:val="1002"/>
        </w:numPr>
      </w:pPr>
      <w:r>
        <w:t xml:space="preserve">إنشاء لجنة إشراف الأمن السيبراني على مستوى مجلس الإدارة</w:t>
      </w:r>
    </w:p>
    <w:bookmarkEnd w:id="21"/>
    <w:bookmarkEnd w:id="22"/>
    <w:bookmarkStart w:id="26" w:name="تحليل-التأثير-على-الأعمال"/>
    <w:p>
      <w:pPr>
        <w:pStyle w:val="Heading1"/>
      </w:pPr>
      <w:r>
        <w:t xml:space="preserve">تحليل التأثير على الأعمال</w:t>
      </w:r>
    </w:p>
    <w:bookmarkStart w:id="23" w:name="أزمة-الامتثال-التنظيمي"/>
    <w:p>
      <w:pPr>
        <w:pStyle w:val="Heading2"/>
      </w:pPr>
      <w:r>
        <w:t xml:space="preserve">أزمة الامتثال التنظيمي</w:t>
      </w:r>
    </w:p>
    <w:p>
      <w:pPr>
        <w:pStyle w:val="FirstParagraph"/>
      </w:pPr>
      <w:r>
        <w:rPr>
          <w:b/>
          <w:bCs/>
        </w:rPr>
        <w:t xml:space="preserve">حالة الامتثال الحالية: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التنظيم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حالة الامتثال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الحد الأقصى للعقوبة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الاحتمالية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انتهاك حرج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 مليون أو 4% من الإيرادات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عدم امتثال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 لكل انتهاك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امتثال جزئي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مليون + السجن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المعايير الصناعية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عدم امتثال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متغير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p>
      <w:pPr>
        <w:pStyle w:val="BodyText"/>
      </w:pPr>
      <w:r>
        <w:rPr>
          <w:b/>
          <w:bCs/>
        </w:rPr>
        <w:t xml:space="preserve">البيئة التنظيمية 2025-2026: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زيادة 40%</w:t>
      </w:r>
      <w:r>
        <w:t xml:space="preserve"> </w:t>
      </w:r>
      <w:r>
        <w:t xml:space="preserve">في متوسط غرامات الأمن السيبراني</w:t>
      </w:r>
    </w:p>
    <w:p>
      <w:pPr>
        <w:pStyle w:val="Compact"/>
        <w:numPr>
          <w:ilvl w:val="0"/>
          <w:numId w:val="1003"/>
        </w:numPr>
      </w:pPr>
      <w:r>
        <w:t xml:space="preserve">متطلبات</w:t>
      </w:r>
      <w:r>
        <w:t xml:space="preserve"> </w:t>
      </w:r>
      <w:r>
        <w:rPr>
          <w:b/>
          <w:bCs/>
        </w:rPr>
        <w:t xml:space="preserve">الإخطار خلال 24 ساعة</w:t>
      </w:r>
      <w:r>
        <w:t xml:space="preserve"> </w:t>
      </w:r>
      <w:r>
        <w:t xml:space="preserve">تصبح معياراً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المسؤولية الشخصية</w:t>
      </w:r>
      <w:r>
        <w:t xml:space="preserve"> </w:t>
      </w:r>
      <w:r>
        <w:t xml:space="preserve">للمديرين التنفيذيين تتزايد عالمياً</w:t>
      </w:r>
    </w:p>
    <w:bookmarkEnd w:id="23"/>
    <w:bookmarkStart w:id="24" w:name="تقييم-المخاطر-السمعية"/>
    <w:p>
      <w:pPr>
        <w:pStyle w:val="Heading2"/>
      </w:pPr>
      <w:r>
        <w:t xml:space="preserve">تقييم المخاطر السمعية</w:t>
      </w:r>
    </w:p>
    <w:p>
      <w:pPr>
        <w:pStyle w:val="FirstParagraph"/>
      </w:pPr>
      <w:r>
        <w:rPr>
          <w:b/>
          <w:bCs/>
        </w:rPr>
        <w:t xml:space="preserve">معايير الصناعة من خروقات البيانات 2024:</w:t>
      </w:r>
    </w:p>
    <w:p>
      <w:pPr>
        <w:pStyle w:val="BodyText"/>
      </w:pPr>
      <w:r>
        <w:t xml:space="preserve">بناءً على تحليل 165 شركة تأثرت بخروقات البيانات في 2024: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فقدان 30% من قاعدة العملاء</w:t>
      </w:r>
      <w:r>
        <w:t xml:space="preserve"> </w:t>
      </w:r>
      <w:r>
        <w:t xml:space="preserve">خلال 6 أشهر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انخفاض 25% في أسعار الأسهم</w:t>
      </w:r>
      <w:r>
        <w:t xml:space="preserve"> </w:t>
      </w:r>
      <w:r>
        <w:t xml:space="preserve">في أول 30 يوماً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2-3 سنوات</w:t>
      </w:r>
      <w:r>
        <w:t xml:space="preserve"> </w:t>
      </w:r>
      <w:r>
        <w:t xml:space="preserve">مطلوبة لاستعادة الثقة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$2 مليون متوسط</w:t>
      </w:r>
      <w:r>
        <w:t xml:space="preserve"> </w:t>
      </w:r>
      <w:r>
        <w:t xml:space="preserve">تكاليف استعادة السمعة</w:t>
      </w:r>
    </w:p>
    <w:p>
      <w:pPr>
        <w:pStyle w:val="FirstParagraph"/>
      </w:pPr>
      <w:r>
        <w:rPr>
          <w:b/>
          <w:bCs/>
        </w:rPr>
        <w:t xml:space="preserve">التأثير التنافسي:</w:t>
      </w:r>
    </w:p>
    <w:p>
      <w:pPr>
        <w:pStyle w:val="Compact"/>
        <w:numPr>
          <w:ilvl w:val="0"/>
          <w:numId w:val="1005"/>
        </w:numPr>
      </w:pPr>
      <w:r>
        <w:t xml:space="preserve">فقدان عملاء المؤسسات الذين يتطلبون شهادات أمنية</w:t>
      </w:r>
    </w:p>
    <w:p>
      <w:pPr>
        <w:pStyle w:val="Compact"/>
        <w:numPr>
          <w:ilvl w:val="0"/>
          <w:numId w:val="1005"/>
        </w:numPr>
      </w:pPr>
      <w:r>
        <w:t xml:space="preserve">عدم القدرة على المناقصات الحكومية</w:t>
      </w:r>
    </w:p>
    <w:p>
      <w:pPr>
        <w:pStyle w:val="Compact"/>
        <w:numPr>
          <w:ilvl w:val="0"/>
          <w:numId w:val="1005"/>
        </w:numPr>
      </w:pPr>
      <w:r>
        <w:t xml:space="preserve">زيادة أقساط التأمين (زيادة نموذجية 30-50%)</w:t>
      </w:r>
    </w:p>
    <w:p>
      <w:pPr>
        <w:pStyle w:val="Compact"/>
        <w:numPr>
          <w:ilvl w:val="0"/>
          <w:numId w:val="1005"/>
        </w:numPr>
      </w:pPr>
      <w:r>
        <w:t xml:space="preserve">صعوبة في جذب المواهب المتميزة</w:t>
      </w:r>
    </w:p>
    <w:bookmarkEnd w:id="24"/>
    <w:bookmarkStart w:id="25" w:name="تهديدات-استمرارية-العمليات"/>
    <w:p>
      <w:pPr>
        <w:pStyle w:val="Heading2"/>
      </w:pPr>
      <w:r>
        <w:t xml:space="preserve">تهديدات استمرارية العمليات</w:t>
      </w:r>
    </w:p>
    <w:p>
      <w:pPr>
        <w:pStyle w:val="FirstParagraph"/>
      </w:pPr>
      <w:r>
        <w:rPr>
          <w:b/>
          <w:bCs/>
        </w:rPr>
        <w:t xml:space="preserve">الثغرات الحالية: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تعرض البيانات الحرجة</w:t>
      </w:r>
    </w:p>
    <w:p>
      <w:pPr>
        <w:pStyle w:val="Compact"/>
        <w:numPr>
          <w:ilvl w:val="1"/>
          <w:numId w:val="1007"/>
        </w:numPr>
      </w:pPr>
      <w:r>
        <w:t xml:space="preserve">جميع البيانات الشخصية للعملاء قابلة للوصول عبر API غير آمن</w:t>
      </w:r>
    </w:p>
    <w:p>
      <w:pPr>
        <w:pStyle w:val="Compact"/>
        <w:numPr>
          <w:ilvl w:val="1"/>
          <w:numId w:val="1007"/>
        </w:numPr>
      </w:pPr>
      <w:r>
        <w:t xml:space="preserve">لا توجد ضوابط وصول على النقاط الحساسة</w:t>
      </w:r>
    </w:p>
    <w:p>
      <w:pPr>
        <w:pStyle w:val="Compact"/>
        <w:numPr>
          <w:ilvl w:val="1"/>
          <w:numId w:val="1007"/>
        </w:numPr>
      </w:pPr>
      <w:r>
        <w:t xml:space="preserve">خطر استغلال في الوقت الفعلي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نقاط ضعف البنية التحتية</w:t>
      </w:r>
    </w:p>
    <w:p>
      <w:pPr>
        <w:pStyle w:val="Compact"/>
        <w:numPr>
          <w:ilvl w:val="1"/>
          <w:numId w:val="1008"/>
        </w:numPr>
      </w:pPr>
      <w:r>
        <w:t xml:space="preserve">غياب رؤوس الأمان الأساسية</w:t>
      </w:r>
    </w:p>
    <w:p>
      <w:pPr>
        <w:pStyle w:val="Compact"/>
        <w:numPr>
          <w:ilvl w:val="1"/>
          <w:numId w:val="1008"/>
        </w:numPr>
      </w:pPr>
      <w:r>
        <w:t xml:space="preserve">تحميل موارد خارجية معرضة للخطر</w:t>
      </w:r>
    </w:p>
    <w:p>
      <w:pPr>
        <w:pStyle w:val="Compact"/>
        <w:numPr>
          <w:ilvl w:val="1"/>
          <w:numId w:val="1008"/>
        </w:numPr>
      </w:pPr>
      <w:r>
        <w:t xml:space="preserve">لا توجد قدرات للاستجابة للحوادث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المخاطر التشغيلية</w:t>
      </w:r>
    </w:p>
    <w:p>
      <w:pPr>
        <w:pStyle w:val="Compact"/>
        <w:numPr>
          <w:ilvl w:val="1"/>
          <w:numId w:val="1009"/>
        </w:numPr>
      </w:pPr>
      <w:r>
        <w:t xml:space="preserve">توقف النظام: $50,000 لكل ساعة</w:t>
      </w:r>
    </w:p>
    <w:p>
      <w:pPr>
        <w:pStyle w:val="Compact"/>
        <w:numPr>
          <w:ilvl w:val="1"/>
          <w:numId w:val="1009"/>
        </w:numPr>
      </w:pPr>
      <w:r>
        <w:t xml:space="preserve">تكاليف استعادة البيانات:</w:t>
      </w:r>
      <w:r>
        <w:t xml:space="preserve"> </w:t>
      </w: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t xml:space="preserve">500,000</w:t>
      </w:r>
    </w:p>
    <w:p>
      <w:pPr>
        <w:pStyle w:val="Compact"/>
        <w:numPr>
          <w:ilvl w:val="1"/>
          <w:numId w:val="1009"/>
        </w:numPr>
      </w:pPr>
      <w:r>
        <w:t xml:space="preserve">فقدان الإنتاجية: 40% في الأسبوع الأول بعد الحادث</w:t>
      </w:r>
    </w:p>
    <w:bookmarkEnd w:id="25"/>
    <w:bookmarkEnd w:id="26"/>
    <w:bookmarkStart w:id="30" w:name="خطة-العمل-الاستراتيجية"/>
    <w:p>
      <w:pPr>
        <w:pStyle w:val="Heading1"/>
      </w:pPr>
      <w:r>
        <w:t xml:space="preserve">خطة العمل الاستراتيجية</w:t>
      </w:r>
    </w:p>
    <w:bookmarkStart w:id="27" w:name="المرحلة-1-احتواء-الأزمة-0-72-ساعة"/>
    <w:p>
      <w:pPr>
        <w:pStyle w:val="Heading2"/>
      </w:pPr>
      <w:r>
        <w:t xml:space="preserve">المرحلة 1: احتواء الأزمة (0-72 ساعة)</w:t>
      </w:r>
    </w:p>
    <w:p>
      <w:pPr>
        <w:pStyle w:val="FirstParagraph"/>
      </w:pPr>
      <w:r>
        <w:rPr>
          <w:b/>
          <w:bCs/>
        </w:rPr>
        <w:t xml:space="preserve">الميزانية المطلوبة: $150,000</w:t>
      </w:r>
    </w:p>
    <w:p>
      <w:pPr>
        <w:pStyle w:val="BodyText"/>
      </w:pPr>
      <w:r>
        <w:rPr>
          <w:b/>
          <w:bCs/>
        </w:rPr>
        <w:t xml:space="preserve">الإجراءات الحرجة: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حماية البيانات الفورية</w:t>
      </w:r>
    </w:p>
    <w:p>
      <w:pPr>
        <w:pStyle w:val="Compact"/>
        <w:numPr>
          <w:ilvl w:val="1"/>
          <w:numId w:val="1011"/>
        </w:numPr>
      </w:pPr>
      <w:r>
        <w:t xml:space="preserve">تأمين نقاط API المعرضة للخطر</w:t>
      </w:r>
    </w:p>
    <w:p>
      <w:pPr>
        <w:pStyle w:val="Compact"/>
        <w:numPr>
          <w:ilvl w:val="1"/>
          <w:numId w:val="1011"/>
        </w:numPr>
      </w:pPr>
      <w:r>
        <w:t xml:space="preserve">تدقيق جميع حسابات المستخدمين المتأثرة</w:t>
      </w:r>
    </w:p>
    <w:p>
      <w:pPr>
        <w:pStyle w:val="Compact"/>
        <w:numPr>
          <w:ilvl w:val="1"/>
          <w:numId w:val="1011"/>
        </w:numPr>
      </w:pPr>
      <w:r>
        <w:t xml:space="preserve">تنفيذ ضوابط الوصول الطارئة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الامتثال التنظيمي</w:t>
      </w:r>
    </w:p>
    <w:p>
      <w:pPr>
        <w:pStyle w:val="Compact"/>
        <w:numPr>
          <w:ilvl w:val="1"/>
          <w:numId w:val="1012"/>
        </w:numPr>
      </w:pPr>
      <w:r>
        <w:t xml:space="preserve">تقديم إخطار خرق GDPR (متطلب 72 ساعة)</w:t>
      </w:r>
    </w:p>
    <w:p>
      <w:pPr>
        <w:pStyle w:val="Compact"/>
        <w:numPr>
          <w:ilvl w:val="1"/>
          <w:numId w:val="1012"/>
        </w:numPr>
      </w:pPr>
      <w:r>
        <w:t xml:space="preserve">إشراك مستشار قانوني متخصص في الأمن السيبراني</w:t>
      </w:r>
    </w:p>
    <w:p>
      <w:pPr>
        <w:pStyle w:val="Compact"/>
        <w:numPr>
          <w:ilvl w:val="1"/>
          <w:numId w:val="1012"/>
        </w:numPr>
      </w:pPr>
      <w:r>
        <w:t xml:space="preserve">إعداد وثائق الاستجابة التنظيمية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إدارة الأزمات</w:t>
      </w:r>
    </w:p>
    <w:p>
      <w:pPr>
        <w:pStyle w:val="Compact"/>
        <w:numPr>
          <w:ilvl w:val="1"/>
          <w:numId w:val="1013"/>
        </w:numPr>
      </w:pPr>
      <w:r>
        <w:t xml:space="preserve">تفعيل فريق الأزمات التنفيذي</w:t>
      </w:r>
    </w:p>
    <w:p>
      <w:pPr>
        <w:pStyle w:val="Compact"/>
        <w:numPr>
          <w:ilvl w:val="1"/>
          <w:numId w:val="1013"/>
        </w:numPr>
      </w:pPr>
      <w:r>
        <w:t xml:space="preserve">إعداد اتصالات أصحاب المصلحة</w:t>
      </w:r>
    </w:p>
    <w:p>
      <w:pPr>
        <w:pStyle w:val="Compact"/>
        <w:numPr>
          <w:ilvl w:val="1"/>
          <w:numId w:val="1013"/>
        </w:numPr>
      </w:pPr>
      <w:r>
        <w:t xml:space="preserve">إشراك خبراء أمن خارجيين</w:t>
      </w:r>
    </w:p>
    <w:p>
      <w:pPr>
        <w:pStyle w:val="FirstParagraph"/>
      </w:pPr>
      <w:r>
        <w:rPr>
          <w:b/>
          <w:bCs/>
        </w:rPr>
        <w:t xml:space="preserve">النتائج المتوقعة:</w:t>
      </w:r>
    </w:p>
    <w:p>
      <w:pPr>
        <w:pStyle w:val="Compact"/>
        <w:numPr>
          <w:ilvl w:val="0"/>
          <w:numId w:val="1014"/>
        </w:numPr>
      </w:pPr>
      <w:r>
        <w:t xml:space="preserve">تقليل 60% من مخاطر العقوبات التنظيمية</w:t>
      </w:r>
    </w:p>
    <w:p>
      <w:pPr>
        <w:pStyle w:val="Compact"/>
        <w:numPr>
          <w:ilvl w:val="0"/>
          <w:numId w:val="1014"/>
        </w:numPr>
      </w:pPr>
      <w:r>
        <w:t xml:space="preserve">منع المزيد من تعرض البيانات</w:t>
      </w:r>
    </w:p>
    <w:p>
      <w:pPr>
        <w:pStyle w:val="Compact"/>
        <w:numPr>
          <w:ilvl w:val="0"/>
          <w:numId w:val="1014"/>
        </w:numPr>
      </w:pPr>
      <w:r>
        <w:t xml:space="preserve">إظهار استجابة استباقية للجهات التنظيمية</w:t>
      </w:r>
    </w:p>
    <w:bookmarkEnd w:id="27"/>
    <w:bookmarkStart w:id="28" w:name="المرحلة-2-الاستقرار-1-4-أسابيع"/>
    <w:p>
      <w:pPr>
        <w:pStyle w:val="Heading2"/>
      </w:pPr>
      <w:r>
        <w:t xml:space="preserve">المرحلة 2: الاستقرار (1-4 أسابيع)</w:t>
      </w:r>
    </w:p>
    <w:p>
      <w:pPr>
        <w:pStyle w:val="FirstParagraph"/>
      </w:pPr>
      <w:r>
        <w:rPr>
          <w:b/>
          <w:bCs/>
        </w:rPr>
        <w:t xml:space="preserve">الميزانية المطلوبة: $300,000</w:t>
      </w:r>
    </w:p>
    <w:p>
      <w:pPr>
        <w:pStyle w:val="BodyText"/>
      </w:pPr>
      <w:r>
        <w:rPr>
          <w:b/>
          <w:bCs/>
        </w:rPr>
        <w:t xml:space="preserve">المبادرات الرئيسية: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البنية التحتية الأمنية</w:t>
      </w:r>
    </w:p>
    <w:p>
      <w:pPr>
        <w:pStyle w:val="Compact"/>
        <w:numPr>
          <w:ilvl w:val="1"/>
          <w:numId w:val="1016"/>
        </w:numPr>
      </w:pPr>
      <w:r>
        <w:t xml:space="preserve">نشر رؤوس الأمان الأساسية</w:t>
      </w:r>
    </w:p>
    <w:p>
      <w:pPr>
        <w:pStyle w:val="Compact"/>
        <w:numPr>
          <w:ilvl w:val="1"/>
          <w:numId w:val="1016"/>
        </w:numPr>
      </w:pPr>
      <w:r>
        <w:t xml:space="preserve">تنفيذ سياسة أمان المحتوى</w:t>
      </w:r>
    </w:p>
    <w:p>
      <w:pPr>
        <w:pStyle w:val="Compact"/>
        <w:numPr>
          <w:ilvl w:val="1"/>
          <w:numId w:val="1016"/>
        </w:numPr>
      </w:pPr>
      <w:r>
        <w:t xml:space="preserve">إنشاء قدرات مراقبة 24/7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تعزيز التحكم في الوصول</w:t>
      </w:r>
    </w:p>
    <w:p>
      <w:pPr>
        <w:pStyle w:val="Compact"/>
        <w:numPr>
          <w:ilvl w:val="1"/>
          <w:numId w:val="1017"/>
        </w:numPr>
      </w:pPr>
      <w:r>
        <w:t xml:space="preserve">المصادقة متعددة العوامل لجميع الأنظمة</w:t>
      </w:r>
    </w:p>
    <w:p>
      <w:pPr>
        <w:pStyle w:val="Compact"/>
        <w:numPr>
          <w:ilvl w:val="1"/>
          <w:numId w:val="1017"/>
        </w:numPr>
      </w:pPr>
      <w:r>
        <w:t xml:space="preserve">تدقيق وإصلاح امتيازات المستخدمين</w:t>
      </w:r>
    </w:p>
    <w:p>
      <w:pPr>
        <w:pStyle w:val="Compact"/>
        <w:numPr>
          <w:ilvl w:val="1"/>
          <w:numId w:val="1017"/>
        </w:numPr>
      </w:pPr>
      <w:r>
        <w:t xml:space="preserve">تنفيذ تقسيم الشبكة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إطار الامتثال</w:t>
      </w:r>
    </w:p>
    <w:p>
      <w:pPr>
        <w:pStyle w:val="Compact"/>
        <w:numPr>
          <w:ilvl w:val="1"/>
          <w:numId w:val="1018"/>
        </w:numPr>
      </w:pPr>
      <w:r>
        <w:t xml:space="preserve">بدء عملية شهادة ISO 27001</w:t>
      </w:r>
    </w:p>
    <w:p>
      <w:pPr>
        <w:pStyle w:val="Compact"/>
        <w:numPr>
          <w:ilvl w:val="1"/>
          <w:numId w:val="1018"/>
        </w:numPr>
      </w:pPr>
      <w:r>
        <w:t xml:space="preserve">تنفيذ برنامج امتثال GDPR</w:t>
      </w:r>
    </w:p>
    <w:p>
      <w:pPr>
        <w:pStyle w:val="Compact"/>
        <w:numPr>
          <w:ilvl w:val="1"/>
          <w:numId w:val="1018"/>
        </w:numPr>
      </w:pPr>
      <w:r>
        <w:t xml:space="preserve">وضع سياسات حوكمة البيانات</w:t>
      </w:r>
    </w:p>
    <w:p>
      <w:pPr>
        <w:pStyle w:val="FirstParagraph"/>
      </w:pPr>
      <w:r>
        <w:rPr>
          <w:b/>
          <w:bCs/>
        </w:rPr>
        <w:t xml:space="preserve">مقاييس النجاح:</w:t>
      </w:r>
    </w:p>
    <w:p>
      <w:pPr>
        <w:pStyle w:val="Compact"/>
        <w:numPr>
          <w:ilvl w:val="0"/>
          <w:numId w:val="1019"/>
        </w:numPr>
      </w:pPr>
      <w:r>
        <w:t xml:space="preserve">تقليل 70% في الثغرات الحرجة</w:t>
      </w:r>
    </w:p>
    <w:p>
      <w:pPr>
        <w:pStyle w:val="Compact"/>
        <w:numPr>
          <w:ilvl w:val="0"/>
          <w:numId w:val="1019"/>
        </w:numPr>
      </w:pPr>
      <w:r>
        <w:t xml:space="preserve">وقت اكتشاف التهديدات &lt;24 ساعة</w:t>
      </w:r>
    </w:p>
    <w:p>
      <w:pPr>
        <w:pStyle w:val="Compact"/>
        <w:numPr>
          <w:ilvl w:val="0"/>
          <w:numId w:val="1019"/>
        </w:numPr>
      </w:pPr>
      <w:r>
        <w:t xml:space="preserve">تغطية 100% MFA للأنظمة الحرجة</w:t>
      </w:r>
    </w:p>
    <w:bookmarkEnd w:id="28"/>
    <w:bookmarkStart w:id="29" w:name="المرحلة-3-التحول-الاستراتيجي-2-12-شهراً"/>
    <w:p>
      <w:pPr>
        <w:pStyle w:val="Heading2"/>
      </w:pPr>
      <w:r>
        <w:t xml:space="preserve">المرحلة 3: التحول الاستراتيجي (2-12 شهراً)</w:t>
      </w:r>
    </w:p>
    <w:p>
      <w:pPr>
        <w:pStyle w:val="FirstParagraph"/>
      </w:pPr>
      <w:r>
        <w:rPr>
          <w:b/>
          <w:bCs/>
        </w:rPr>
        <w:t xml:space="preserve">الميزانية المطلوبة: $500,000</w:t>
      </w:r>
    </w:p>
    <w:p>
      <w:pPr>
        <w:pStyle w:val="BodyText"/>
      </w:pPr>
      <w:r>
        <w:rPr>
          <w:b/>
          <w:bCs/>
        </w:rPr>
        <w:t xml:space="preserve">الاستثمارات طويلة المدى: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الهيكل التنظيمي</w:t>
      </w:r>
    </w:p>
    <w:p>
      <w:pPr>
        <w:pStyle w:val="Compact"/>
        <w:numPr>
          <w:ilvl w:val="1"/>
          <w:numId w:val="1021"/>
        </w:numPr>
      </w:pPr>
      <w:r>
        <w:t xml:space="preserve">توظيف كبير مسؤولي أمن المعلومات (CISO)</w:t>
      </w:r>
    </w:p>
    <w:p>
      <w:pPr>
        <w:pStyle w:val="Compact"/>
        <w:numPr>
          <w:ilvl w:val="1"/>
          <w:numId w:val="1021"/>
        </w:numPr>
      </w:pPr>
      <w:r>
        <w:t xml:space="preserve">بناء فريق مركز عمليات الأمان (SOC)</w:t>
      </w:r>
    </w:p>
    <w:p>
      <w:pPr>
        <w:pStyle w:val="Compact"/>
        <w:numPr>
          <w:ilvl w:val="1"/>
          <w:numId w:val="1021"/>
        </w:numPr>
      </w:pPr>
      <w:r>
        <w:t xml:space="preserve">وضع عمليات إدارة المخاطر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تحديث التكنولوجيا</w:t>
      </w:r>
    </w:p>
    <w:p>
      <w:pPr>
        <w:pStyle w:val="Compact"/>
        <w:numPr>
          <w:ilvl w:val="1"/>
          <w:numId w:val="1022"/>
        </w:numPr>
      </w:pPr>
      <w:r>
        <w:t xml:space="preserve">نشر منصة SIEM/SOAR</w:t>
      </w:r>
    </w:p>
    <w:p>
      <w:pPr>
        <w:pStyle w:val="Compact"/>
        <w:numPr>
          <w:ilvl w:val="1"/>
          <w:numId w:val="1022"/>
        </w:numPr>
      </w:pPr>
      <w:r>
        <w:t xml:space="preserve">تنفيذ الاستجابة الآلية للحوادث</w:t>
      </w:r>
    </w:p>
    <w:p>
      <w:pPr>
        <w:pStyle w:val="Compact"/>
        <w:numPr>
          <w:ilvl w:val="1"/>
          <w:numId w:val="1022"/>
        </w:numPr>
      </w:pPr>
      <w:r>
        <w:t xml:space="preserve">تعزيز قدرات النسخ الاحتياطي والاستعادة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الامتثال والشهادات</w:t>
      </w:r>
    </w:p>
    <w:p>
      <w:pPr>
        <w:pStyle w:val="Compact"/>
        <w:numPr>
          <w:ilvl w:val="1"/>
          <w:numId w:val="1023"/>
        </w:numPr>
      </w:pPr>
      <w:r>
        <w:t xml:space="preserve">تحقيق شهادة SOC 2 Type II</w:t>
      </w:r>
    </w:p>
    <w:p>
      <w:pPr>
        <w:pStyle w:val="Compact"/>
        <w:numPr>
          <w:ilvl w:val="1"/>
          <w:numId w:val="1023"/>
        </w:numPr>
      </w:pPr>
      <w:r>
        <w:t xml:space="preserve">إكمال تنفيذ ISO 27001</w:t>
      </w:r>
    </w:p>
    <w:p>
      <w:pPr>
        <w:pStyle w:val="Compact"/>
        <w:numPr>
          <w:ilvl w:val="1"/>
          <w:numId w:val="1023"/>
        </w:numPr>
      </w:pPr>
      <w:r>
        <w:t xml:space="preserve">وضع برنامج إدارة مخاطر الموردين</w:t>
      </w:r>
    </w:p>
    <w:p>
      <w:pPr>
        <w:pStyle w:val="FirstParagraph"/>
      </w:pPr>
      <w:r>
        <w:rPr>
          <w:b/>
          <w:bCs/>
        </w:rPr>
        <w:t xml:space="preserve">العائد المتوقع على الاستثمار:</w:t>
      </w:r>
    </w:p>
    <w:p>
      <w:pPr>
        <w:pStyle w:val="Compact"/>
        <w:numPr>
          <w:ilvl w:val="0"/>
          <w:numId w:val="1024"/>
        </w:numPr>
      </w:pPr>
      <w:r>
        <w:t xml:space="preserve">توفير $2.4 مليون سنوياً من منع الحوادث</w:t>
      </w:r>
    </w:p>
    <w:p>
      <w:pPr>
        <w:pStyle w:val="Compact"/>
        <w:numPr>
          <w:ilvl w:val="0"/>
          <w:numId w:val="1024"/>
        </w:numPr>
      </w:pPr>
      <w:r>
        <w:t xml:space="preserve">تقليل 30% في أقساط التأمين</w:t>
      </w:r>
    </w:p>
    <w:p>
      <w:pPr>
        <w:pStyle w:val="Compact"/>
        <w:numPr>
          <w:ilvl w:val="0"/>
          <w:numId w:val="1024"/>
        </w:numPr>
      </w:pPr>
      <w:r>
        <w:t xml:space="preserve">تعزيز ثقة العملاء والموقع التنافسي</w:t>
      </w:r>
    </w:p>
    <w:bookmarkEnd w:id="29"/>
    <w:bookmarkEnd w:id="30"/>
    <w:bookmarkStart w:id="34" w:name="المبرر-المالي"/>
    <w:p>
      <w:pPr>
        <w:pStyle w:val="Heading1"/>
      </w:pPr>
      <w:r>
        <w:t xml:space="preserve">المبرر المالي</w:t>
      </w:r>
    </w:p>
    <w:bookmarkStart w:id="31" w:name="تحليل-الاستثمار-مقابل-المخاطر"/>
    <w:p>
      <w:pPr>
        <w:pStyle w:val="Heading2"/>
      </w:pPr>
      <w:r>
        <w:t xml:space="preserve">تحليل الاستثمار مقابل المخاطر</w:t>
      </w:r>
    </w:p>
    <w:p>
      <w:pPr>
        <w:pStyle w:val="FirstParagraph"/>
      </w:pPr>
      <w:r>
        <w:rPr>
          <w:b/>
          <w:bCs/>
        </w:rPr>
        <w:t xml:space="preserve">إجمالي الاستثمار المطلوب: $950,000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فئة الاستثمار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المبلغ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التوفير السنوي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العائد على الاستثمار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منع الحوادث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برنامج الامتثال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الكفاءة التشغيلية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المجموع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253%</w:t>
            </w:r>
          </w:p>
        </w:tc>
      </w:tr>
    </w:tbl>
    <w:bookmarkEnd w:id="31"/>
    <w:bookmarkStart w:id="32" w:name="تكلفة-عدم-العمل"/>
    <w:p>
      <w:pPr>
        <w:pStyle w:val="Heading2"/>
      </w:pPr>
      <w:r>
        <w:t xml:space="preserve">تكلفة عدم العمل</w:t>
      </w:r>
    </w:p>
    <w:p>
      <w:pPr>
        <w:pStyle w:val="FirstParagraph"/>
      </w:pPr>
      <w:r>
        <w:rPr>
          <w:b/>
          <w:bCs/>
        </w:rPr>
        <w:t xml:space="preserve">الخسائر المحتملة بدون الاستثمار:</w:t>
      </w:r>
    </w:p>
    <w:p>
      <w:pPr>
        <w:pStyle w:val="SourceCode"/>
      </w:pPr>
      <w:r>
        <w:rPr>
          <w:rStyle w:val="VerbatimChar"/>
        </w:rPr>
        <w:t xml:space="preserve">تكاليف الحوادث المباشرة:</w:t>
      </w:r>
      <w:r>
        <w:br/>
      </w:r>
      <w:r>
        <w:rPr>
          <w:rStyle w:val="VerbatimChar"/>
        </w:rPr>
        <w:t xml:space="preserve">├── التحقيق والمعالجة: $800,000</w:t>
      </w:r>
      <w:r>
        <w:br/>
      </w:r>
      <w:r>
        <w:rPr>
          <w:rStyle w:val="VerbatimChar"/>
        </w:rPr>
        <w:t xml:space="preserve">├── القانونية والتنظيمية: $2,000,000 - $20,000,000</w:t>
      </w:r>
      <w:r>
        <w:br/>
      </w:r>
      <w:r>
        <w:rPr>
          <w:rStyle w:val="VerbatimChar"/>
        </w:rPr>
        <w:t xml:space="preserve">├── إخطار العملاء: $200,000</w:t>
      </w:r>
      <w:r>
        <w:br/>
      </w:r>
      <w:r>
        <w:rPr>
          <w:rStyle w:val="VerbatimChar"/>
        </w:rPr>
        <w:t xml:space="preserve">└── مراقبة الائتمان: $300,000</w:t>
      </w:r>
      <w:r>
        <w:br/>
      </w:r>
      <w:r>
        <w:br/>
      </w:r>
      <w:r>
        <w:rPr>
          <w:rStyle w:val="VerbatimChar"/>
        </w:rPr>
        <w:t xml:space="preserve">التأثير التجاري غير المباشر:</w:t>
      </w:r>
      <w:r>
        <w:br/>
      </w:r>
      <w:r>
        <w:rPr>
          <w:rStyle w:val="VerbatimChar"/>
        </w:rPr>
        <w:t xml:space="preserve">├── فقدان العملاء (30%): $5,000,000</w:t>
      </w:r>
      <w:r>
        <w:br/>
      </w:r>
      <w:r>
        <w:rPr>
          <w:rStyle w:val="VerbatimChar"/>
        </w:rPr>
        <w:t xml:space="preserve">├── تأثير أسعار الأسهم: $10,000,000</w:t>
      </w:r>
      <w:r>
        <w:br/>
      </w:r>
      <w:r>
        <w:rPr>
          <w:rStyle w:val="VerbatimChar"/>
        </w:rPr>
        <w:t xml:space="preserve">├── زيادة أقساط التأمين: $500,000/سنة</w:t>
      </w:r>
      <w:r>
        <w:br/>
      </w:r>
      <w:r>
        <w:rPr>
          <w:rStyle w:val="VerbatimChar"/>
        </w:rPr>
        <w:t xml:space="preserve">└── استعادة السمعة: $2,000,000</w:t>
      </w:r>
      <w:r>
        <w:br/>
      </w:r>
      <w:r>
        <w:br/>
      </w:r>
      <w:r>
        <w:rPr>
          <w:rStyle w:val="VerbatimChar"/>
        </w:rPr>
        <w:t xml:space="preserve">إجمالي الخسارة المحتملة: $20,800,000 - $38,800,000</w:t>
      </w:r>
    </w:p>
    <w:bookmarkEnd w:id="32"/>
    <w:bookmarkStart w:id="33" w:name="معايير-الصناعة"/>
    <w:p>
      <w:pPr>
        <w:pStyle w:val="Heading2"/>
      </w:pPr>
      <w:r>
        <w:t xml:space="preserve">معايير الصناعة</w:t>
      </w:r>
    </w:p>
    <w:p>
      <w:pPr>
        <w:pStyle w:val="FirstParagraph"/>
      </w:pPr>
      <w:r>
        <w:rPr>
          <w:b/>
          <w:bCs/>
        </w:rPr>
        <w:t xml:space="preserve">معايير الاستثمار في الأمن السيبراني:</w:t>
      </w:r>
    </w:p>
    <w:p>
      <w:pPr>
        <w:pStyle w:val="Compact"/>
        <w:numPr>
          <w:ilvl w:val="0"/>
          <w:numId w:val="1025"/>
        </w:numPr>
      </w:pPr>
      <w:r>
        <w:t xml:space="preserve">متوسط الصناعة: 3.5% من ميزانية تقنية المعلومات</w:t>
      </w:r>
    </w:p>
    <w:p>
      <w:pPr>
        <w:pStyle w:val="Compact"/>
        <w:numPr>
          <w:ilvl w:val="0"/>
          <w:numId w:val="1025"/>
        </w:numPr>
      </w:pPr>
      <w:r>
        <w:t xml:space="preserve">إنفاقنا الحالي: 1.2% من ميزانية تقنية المعلومات</w:t>
      </w:r>
    </w:p>
    <w:p>
      <w:pPr>
        <w:pStyle w:val="Compact"/>
        <w:numPr>
          <w:ilvl w:val="0"/>
          <w:numId w:val="1025"/>
        </w:numPr>
      </w:pPr>
      <w:r>
        <w:t xml:space="preserve">المستوى الموصى به: 4.5% من ميزانية تقنية المعلومات</w:t>
      </w:r>
    </w:p>
    <w:p>
      <w:pPr>
        <w:pStyle w:val="FirstParagraph"/>
      </w:pPr>
      <w:r>
        <w:rPr>
          <w:b/>
          <w:bCs/>
        </w:rPr>
        <w:t xml:space="preserve">المزايا التنافسية:</w:t>
      </w:r>
    </w:p>
    <w:p>
      <w:pPr>
        <w:pStyle w:val="Compact"/>
        <w:numPr>
          <w:ilvl w:val="0"/>
          <w:numId w:val="1026"/>
        </w:numPr>
      </w:pPr>
      <w:r>
        <w:t xml:space="preserve">شهادة الأمان كعامل تمييز</w:t>
      </w:r>
    </w:p>
    <w:p>
      <w:pPr>
        <w:pStyle w:val="Compact"/>
        <w:numPr>
          <w:ilvl w:val="0"/>
          <w:numId w:val="1026"/>
        </w:numPr>
      </w:pPr>
      <w:r>
        <w:t xml:space="preserve">الوصول إلى قاعدة عملاء المؤسسات</w:t>
      </w:r>
    </w:p>
    <w:p>
      <w:pPr>
        <w:pStyle w:val="Compact"/>
        <w:numPr>
          <w:ilvl w:val="0"/>
          <w:numId w:val="1026"/>
        </w:numPr>
      </w:pPr>
      <w:r>
        <w:t xml:space="preserve">تقليل متطلبات التأمين</w:t>
      </w:r>
    </w:p>
    <w:p>
      <w:pPr>
        <w:pStyle w:val="Compact"/>
        <w:numPr>
          <w:ilvl w:val="0"/>
          <w:numId w:val="1026"/>
        </w:numPr>
      </w:pPr>
      <w:r>
        <w:t xml:space="preserve">تعزيز ثقة المستثمرين</w:t>
      </w:r>
    </w:p>
    <w:bookmarkEnd w:id="33"/>
    <w:bookmarkEnd w:id="34"/>
    <w:bookmarkStart w:id="38" w:name="الحوكمة-والإشراف"/>
    <w:p>
      <w:pPr>
        <w:pStyle w:val="Heading1"/>
      </w:pPr>
      <w:r>
        <w:t xml:space="preserve">الحوكمة والإشراف</w:t>
      </w:r>
    </w:p>
    <w:bookmarkStart w:id="35" w:name="الهيكل-التنظيمي-الموصى-به"/>
    <w:p>
      <w:pPr>
        <w:pStyle w:val="Heading2"/>
      </w:pPr>
      <w:r>
        <w:t xml:space="preserve">الهيكل التنظيمي الموصى به</w:t>
      </w:r>
    </w:p>
    <w:p>
      <w:pPr>
        <w:pStyle w:val="SourceCode"/>
      </w:pPr>
      <w:r>
        <w:rPr>
          <w:rStyle w:val="VerbatimChar"/>
        </w:rPr>
        <w:t xml:space="preserve">مجلس الإدارة</w:t>
      </w:r>
      <w:r>
        <w:br/>
      </w:r>
      <w:r>
        <w:rPr>
          <w:rStyle w:val="VerbatimChar"/>
        </w:rPr>
        <w:t xml:space="preserve">├── لجنة المخاطر والتدقيق</w:t>
      </w:r>
      <w:r>
        <w:br/>
      </w:r>
      <w:r>
        <w:rPr>
          <w:rStyle w:val="VerbatimChar"/>
        </w:rPr>
        <w:t xml:space="preserve">│   └── اللجنة الفرعية للأمن السيبراني (جديدة)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القيادة التنفيذية</w:t>
      </w:r>
      <w:r>
        <w:br/>
      </w:r>
      <w:r>
        <w:rPr>
          <w:rStyle w:val="VerbatimChar"/>
        </w:rPr>
        <w:t xml:space="preserve">├── الرئيس التنفيذي (المساءلة العامة)</w:t>
      </w:r>
      <w:r>
        <w:br/>
      </w:r>
      <w:r>
        <w:rPr>
          <w:rStyle w:val="VerbatimChar"/>
        </w:rPr>
        <w:t xml:space="preserve">├── كبير مسؤولي أمن المعلومات (المسؤولية التشغيلية) - دور جديد</w:t>
      </w:r>
      <w:r>
        <w:br/>
      </w:r>
      <w:r>
        <w:rPr>
          <w:rStyle w:val="VerbatimChar"/>
        </w:rPr>
        <w:t xml:space="preserve">│   ├── مدير SOC</w:t>
      </w:r>
      <w:r>
        <w:br/>
      </w:r>
      <w:r>
        <w:rPr>
          <w:rStyle w:val="VerbatimChar"/>
        </w:rPr>
        <w:t xml:space="preserve">│   ├── مدير الامتثال</w:t>
      </w:r>
      <w:r>
        <w:br/>
      </w:r>
      <w:r>
        <w:rPr>
          <w:rStyle w:val="VerbatimChar"/>
        </w:rPr>
        <w:t xml:space="preserve">│   └── مدير الاستجابة للحوادث</w:t>
      </w:r>
      <w:r>
        <w:br/>
      </w:r>
      <w:r>
        <w:rPr>
          <w:rStyle w:val="VerbatimChar"/>
        </w:rPr>
        <w:t xml:space="preserve">└── كبير مسؤولي التكنولوجيا (الدعم التقني)</w:t>
      </w:r>
    </w:p>
    <w:bookmarkEnd w:id="35"/>
    <w:bookmarkStart w:id="36" w:name="مؤشرات-الأداء-الرئيسية"/>
    <w:p>
      <w:pPr>
        <w:pStyle w:val="Heading2"/>
      </w:pPr>
      <w:r>
        <w:t xml:space="preserve">مؤشرات الأداء الرئيسية</w:t>
      </w:r>
    </w:p>
    <w:p>
      <w:pPr>
        <w:pStyle w:val="FirstParagraph"/>
      </w:pPr>
      <w:r>
        <w:rPr>
          <w:b/>
          <w:bCs/>
        </w:rPr>
        <w:t xml:space="preserve">المقاييس التشغيلية:</w:t>
      </w:r>
    </w:p>
    <w:p>
      <w:pPr>
        <w:pStyle w:val="Compact"/>
        <w:numPr>
          <w:ilvl w:val="0"/>
          <w:numId w:val="1027"/>
        </w:numPr>
      </w:pPr>
      <w:r>
        <w:t xml:space="preserve">وقت اكتشاف التهديدات: &lt;1 ساعة (الهدف)</w:t>
      </w:r>
    </w:p>
    <w:p>
      <w:pPr>
        <w:pStyle w:val="Compact"/>
        <w:numPr>
          <w:ilvl w:val="0"/>
          <w:numId w:val="1027"/>
        </w:numPr>
      </w:pPr>
      <w:r>
        <w:t xml:space="preserve">وقت الاستجابة للحوادث: &lt;4 ساعات</w:t>
      </w:r>
    </w:p>
    <w:p>
      <w:pPr>
        <w:pStyle w:val="Compact"/>
        <w:numPr>
          <w:ilvl w:val="0"/>
          <w:numId w:val="1027"/>
        </w:numPr>
      </w:pPr>
      <w:r>
        <w:t xml:space="preserve">معدل نجاح التصيد الاحتيالي: &lt;2%</w:t>
      </w:r>
    </w:p>
    <w:p>
      <w:pPr>
        <w:pStyle w:val="Compact"/>
        <w:numPr>
          <w:ilvl w:val="0"/>
          <w:numId w:val="1027"/>
        </w:numPr>
      </w:pPr>
      <w:r>
        <w:t xml:space="preserve">وقت تشغيل الأنظمة الحرجة: &gt;99.9%</w:t>
      </w:r>
    </w:p>
    <w:p>
      <w:pPr>
        <w:pStyle w:val="FirstParagraph"/>
      </w:pPr>
      <w:r>
        <w:rPr>
          <w:b/>
          <w:bCs/>
        </w:rPr>
        <w:t xml:space="preserve">المقاييس التجارية:</w:t>
      </w:r>
    </w:p>
    <w:p>
      <w:pPr>
        <w:pStyle w:val="Compact"/>
        <w:numPr>
          <w:ilvl w:val="0"/>
          <w:numId w:val="1028"/>
        </w:numPr>
      </w:pPr>
      <w:r>
        <w:t xml:space="preserve">حوادث الأمان: تقليل 80%</w:t>
      </w:r>
    </w:p>
    <w:p>
      <w:pPr>
        <w:pStyle w:val="Compact"/>
        <w:numPr>
          <w:ilvl w:val="0"/>
          <w:numId w:val="1028"/>
        </w:numPr>
      </w:pPr>
      <w:r>
        <w:t xml:space="preserve">تكاليف الحوادث: تقليل 90%</w:t>
      </w:r>
    </w:p>
    <w:p>
      <w:pPr>
        <w:pStyle w:val="Compact"/>
        <w:numPr>
          <w:ilvl w:val="0"/>
          <w:numId w:val="1028"/>
        </w:numPr>
      </w:pPr>
      <w:r>
        <w:t xml:space="preserve">توقف النظام: تقليل 95%</w:t>
      </w:r>
    </w:p>
    <w:p>
      <w:pPr>
        <w:pStyle w:val="Compact"/>
        <w:numPr>
          <w:ilvl w:val="0"/>
          <w:numId w:val="1028"/>
        </w:numPr>
      </w:pPr>
      <w:r>
        <w:t xml:space="preserve">رضا العملاء: الحفاظ على &gt;95%</w:t>
      </w:r>
    </w:p>
    <w:bookmarkEnd w:id="36"/>
    <w:bookmarkStart w:id="37" w:name="إطار-التقارير"/>
    <w:p>
      <w:pPr>
        <w:pStyle w:val="Heading2"/>
      </w:pPr>
      <w:r>
        <w:t xml:space="preserve">إطار التقارير</w:t>
      </w:r>
    </w:p>
    <w:p>
      <w:pPr>
        <w:pStyle w:val="FirstParagraph"/>
      </w:pPr>
      <w:r>
        <w:rPr>
          <w:b/>
          <w:bCs/>
        </w:rPr>
        <w:t xml:space="preserve">التقارير على مستوى مجلس الإدارة:</w:t>
      </w:r>
    </w:p>
    <w:p>
      <w:pPr>
        <w:pStyle w:val="Compact"/>
        <w:numPr>
          <w:ilvl w:val="0"/>
          <w:numId w:val="1029"/>
        </w:numPr>
      </w:pPr>
      <w:r>
        <w:t xml:space="preserve">لوحة معلومات الأمن السيبراني الشهرية</w:t>
      </w:r>
    </w:p>
    <w:p>
      <w:pPr>
        <w:pStyle w:val="Compact"/>
        <w:numPr>
          <w:ilvl w:val="0"/>
          <w:numId w:val="1029"/>
        </w:numPr>
      </w:pPr>
      <w:r>
        <w:t xml:space="preserve">تقييمات المخاطر الفصلية</w:t>
      </w:r>
    </w:p>
    <w:p>
      <w:pPr>
        <w:pStyle w:val="Compact"/>
        <w:numPr>
          <w:ilvl w:val="0"/>
          <w:numId w:val="1029"/>
        </w:numPr>
      </w:pPr>
      <w:r>
        <w:t xml:space="preserve">مراجعة استراتيجية الأمان السنوية</w:t>
      </w:r>
    </w:p>
    <w:p>
      <w:pPr>
        <w:pStyle w:val="Compact"/>
        <w:numPr>
          <w:ilvl w:val="0"/>
          <w:numId w:val="1029"/>
        </w:numPr>
      </w:pPr>
      <w:r>
        <w:t xml:space="preserve">إخطارات الحوادث الفورية</w:t>
      </w:r>
    </w:p>
    <w:bookmarkEnd w:id="37"/>
    <w:bookmarkEnd w:id="38"/>
    <w:bookmarkStart w:id="41" w:name="نقاط-القرار-لعمل-مجلس-الإدارة"/>
    <w:p>
      <w:pPr>
        <w:pStyle w:val="Heading1"/>
      </w:pPr>
      <w:r>
        <w:t xml:space="preserve">نقاط القرار لعمل مجلس الإدارة</w:t>
      </w:r>
    </w:p>
    <w:bookmarkStart w:id="39" w:name="القرارات-الفورية-مطلوبة-خلال-24-ساعة"/>
    <w:p>
      <w:pPr>
        <w:pStyle w:val="Heading2"/>
      </w:pPr>
      <w:r>
        <w:t xml:space="preserve">القرارات الفورية (مطلوبة خلال 24 ساعة)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موافقة ميزانية الطوارئ: $150,000</w:t>
      </w:r>
    </w:p>
    <w:p>
      <w:pPr>
        <w:pStyle w:val="Compact"/>
        <w:numPr>
          <w:ilvl w:val="1"/>
          <w:numId w:val="1031"/>
        </w:numPr>
      </w:pPr>
      <w:r>
        <w:t xml:space="preserve">معالجة الثغرات الحرجة</w:t>
      </w:r>
    </w:p>
    <w:p>
      <w:pPr>
        <w:pStyle w:val="Compact"/>
        <w:numPr>
          <w:ilvl w:val="1"/>
          <w:numId w:val="1031"/>
        </w:numPr>
      </w:pPr>
      <w:r>
        <w:t xml:space="preserve">إشراك خبير أمن خارجي</w:t>
      </w:r>
    </w:p>
    <w:p>
      <w:pPr>
        <w:pStyle w:val="Compact"/>
        <w:numPr>
          <w:ilvl w:val="1"/>
          <w:numId w:val="1031"/>
        </w:numPr>
      </w:pPr>
      <w:r>
        <w:t xml:space="preserve">الدعم القانوني والتنظيمي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تفويض الاتصالات الأزموية</w:t>
      </w:r>
    </w:p>
    <w:p>
      <w:pPr>
        <w:pStyle w:val="Compact"/>
        <w:numPr>
          <w:ilvl w:val="1"/>
          <w:numId w:val="1032"/>
        </w:numPr>
      </w:pPr>
      <w:r>
        <w:t xml:space="preserve">تعيين متحدث رسمي</w:t>
      </w:r>
    </w:p>
    <w:p>
      <w:pPr>
        <w:pStyle w:val="Compact"/>
        <w:numPr>
          <w:ilvl w:val="1"/>
          <w:numId w:val="1032"/>
        </w:numPr>
      </w:pPr>
      <w:r>
        <w:t xml:space="preserve">الموافقة على عملية إخطار العملاء</w:t>
      </w:r>
    </w:p>
    <w:p>
      <w:pPr>
        <w:pStyle w:val="Compact"/>
        <w:numPr>
          <w:ilvl w:val="1"/>
          <w:numId w:val="1032"/>
        </w:numPr>
      </w:pPr>
      <w:r>
        <w:t xml:space="preserve">تفويض الملفات التنظيمية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تفعيل فريق الأزمات التنفيذي</w:t>
      </w:r>
    </w:p>
    <w:p>
      <w:pPr>
        <w:pStyle w:val="Compact"/>
        <w:numPr>
          <w:ilvl w:val="1"/>
          <w:numId w:val="1033"/>
        </w:numPr>
      </w:pPr>
      <w:r>
        <w:t xml:space="preserve">إحاطات الوضع اليومية</w:t>
      </w:r>
    </w:p>
    <w:p>
      <w:pPr>
        <w:pStyle w:val="Compact"/>
        <w:numPr>
          <w:ilvl w:val="1"/>
          <w:numId w:val="1033"/>
        </w:numPr>
      </w:pPr>
      <w:r>
        <w:t xml:space="preserve">تنسيق اتصالات أصحاب المصلحة</w:t>
      </w:r>
    </w:p>
    <w:p>
      <w:pPr>
        <w:pStyle w:val="Compact"/>
        <w:numPr>
          <w:ilvl w:val="1"/>
          <w:numId w:val="1033"/>
        </w:numPr>
      </w:pPr>
      <w:r>
        <w:t xml:space="preserve">سلطة تخصيص الموارد</w:t>
      </w:r>
    </w:p>
    <w:bookmarkEnd w:id="39"/>
    <w:bookmarkStart w:id="40" w:name="X42f948e780d947fb64b42b6a59013eb468ebc8c"/>
    <w:p>
      <w:pPr>
        <w:pStyle w:val="Heading2"/>
      </w:pPr>
      <w:r>
        <w:t xml:space="preserve">القرارات الاستراتيجية (مطلوبة خلال أسبوعين)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برنامج الاستثمار الشامل: $950,000</w:t>
      </w:r>
    </w:p>
    <w:p>
      <w:pPr>
        <w:pStyle w:val="Compact"/>
        <w:numPr>
          <w:ilvl w:val="1"/>
          <w:numId w:val="1035"/>
        </w:numPr>
      </w:pPr>
      <w:r>
        <w:t xml:space="preserve">خطة تنفيذ ثلاثية المراحل</w:t>
      </w:r>
    </w:p>
    <w:p>
      <w:pPr>
        <w:pStyle w:val="Compact"/>
        <w:numPr>
          <w:ilvl w:val="1"/>
          <w:numId w:val="1035"/>
        </w:numPr>
      </w:pPr>
      <w:r>
        <w:t xml:space="preserve">العائد المتوقع على الاستثمار: 253% في السنة الأولى</w:t>
      </w:r>
    </w:p>
    <w:p>
      <w:pPr>
        <w:pStyle w:val="Compact"/>
        <w:numPr>
          <w:ilvl w:val="1"/>
          <w:numId w:val="1035"/>
        </w:numPr>
      </w:pPr>
      <w:r>
        <w:t xml:space="preserve">فترة الاسترداد: 5 أشهر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إنشاء منصب CISO</w:t>
      </w:r>
    </w:p>
    <w:p>
      <w:pPr>
        <w:pStyle w:val="Compact"/>
        <w:numPr>
          <w:ilvl w:val="1"/>
          <w:numId w:val="1036"/>
        </w:numPr>
      </w:pPr>
      <w:r>
        <w:t xml:space="preserve">سلطة على مستوى C-suite</w:t>
      </w:r>
    </w:p>
    <w:p>
      <w:pPr>
        <w:pStyle w:val="Compact"/>
        <w:numPr>
          <w:ilvl w:val="1"/>
          <w:numId w:val="1036"/>
        </w:numPr>
      </w:pPr>
      <w:r>
        <w:t xml:space="preserve">تقرير مباشر للرئيس التنفيذي ومجلس الإدارة</w:t>
      </w:r>
    </w:p>
    <w:p>
      <w:pPr>
        <w:pStyle w:val="Compact"/>
        <w:numPr>
          <w:ilvl w:val="1"/>
          <w:numId w:val="1036"/>
        </w:numPr>
      </w:pPr>
      <w:r>
        <w:t xml:space="preserve">الميزانية:</w:t>
      </w:r>
      <w:r>
        <w:t xml:space="preserve"> </w:t>
      </w: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t xml:space="preserve">300,000 سنوياً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تعزيز حوكمة مجلس الإدارة</w:t>
      </w:r>
    </w:p>
    <w:p>
      <w:pPr>
        <w:pStyle w:val="Compact"/>
        <w:numPr>
          <w:ilvl w:val="1"/>
          <w:numId w:val="1037"/>
        </w:numPr>
      </w:pPr>
      <w:r>
        <w:t xml:space="preserve">إنشاء اللجنة الفرعية للأمن السيبراني</w:t>
      </w:r>
    </w:p>
    <w:p>
      <w:pPr>
        <w:pStyle w:val="Compact"/>
        <w:numPr>
          <w:ilvl w:val="1"/>
          <w:numId w:val="1037"/>
        </w:numPr>
      </w:pPr>
      <w:r>
        <w:t xml:space="preserve">مراجعات أمنية فصلية</w:t>
      </w:r>
    </w:p>
    <w:p>
      <w:pPr>
        <w:pStyle w:val="Compact"/>
        <w:numPr>
          <w:ilvl w:val="1"/>
          <w:numId w:val="1037"/>
        </w:numPr>
      </w:pPr>
      <w:r>
        <w:t xml:space="preserve">تقييمات طرف ثالث سنوية</w:t>
      </w:r>
    </w:p>
    <w:bookmarkEnd w:id="40"/>
    <w:bookmarkEnd w:id="41"/>
    <w:bookmarkStart w:id="46" w:name="الخلاصة-والخطوات-التالية"/>
    <w:p>
      <w:pPr>
        <w:pStyle w:val="Heading1"/>
      </w:pPr>
      <w:r>
        <w:t xml:space="preserve">الخلاصة والخطوات التالية</w:t>
      </w:r>
    </w:p>
    <w:bookmarkStart w:id="42" w:name="الطبيعة-الحرجة-للوضع-الحالي"/>
    <w:p>
      <w:pPr>
        <w:pStyle w:val="Heading2"/>
      </w:pPr>
      <w:r>
        <w:t xml:space="preserve">الطبيعة الحرجة للوضع الحالي</w:t>
      </w:r>
    </w:p>
    <w:p>
      <w:pPr>
        <w:pStyle w:val="FirstParagraph"/>
      </w:pPr>
      <w:r>
        <w:t xml:space="preserve">تواجه مؤسستنا</w:t>
      </w:r>
      <w:r>
        <w:t xml:space="preserve"> </w:t>
      </w:r>
      <w:r>
        <w:rPr>
          <w:b/>
          <w:bCs/>
        </w:rPr>
        <w:t xml:space="preserve">مستوى غير مقبول من مخاطر الأمن السيبراني</w:t>
      </w:r>
      <w:r>
        <w:t xml:space="preserve"> </w:t>
      </w:r>
      <w:r>
        <w:t xml:space="preserve">يهدد: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الاستقرار المالي</w:t>
      </w:r>
      <w:r>
        <w:t xml:space="preserve"> </w:t>
      </w:r>
      <w:r>
        <w:t xml:space="preserve">من خلال غرامات محتملة تصل إلى €20 مليون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الموقع السوقي</w:t>
      </w:r>
      <w:r>
        <w:t xml:space="preserve"> </w:t>
      </w:r>
      <w:r>
        <w:t xml:space="preserve">من خلال الضرر السمعي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استمرارية العمليات</w:t>
      </w:r>
      <w:r>
        <w:t xml:space="preserve"> </w:t>
      </w:r>
      <w:r>
        <w:t xml:space="preserve">من خلال ثغرات النظام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الوضع التنظيمي</w:t>
      </w:r>
      <w:r>
        <w:t xml:space="preserve"> </w:t>
      </w:r>
      <w:r>
        <w:t xml:space="preserve">من خلال فشل الامتثال</w:t>
      </w:r>
    </w:p>
    <w:bookmarkEnd w:id="42"/>
    <w:bookmarkStart w:id="43" w:name="الفرصة-الاستراتيجية"/>
    <w:p>
      <w:pPr>
        <w:pStyle w:val="Heading2"/>
      </w:pPr>
      <w:r>
        <w:t xml:space="preserve">الفرصة الاستراتيجية</w:t>
      </w:r>
    </w:p>
    <w:p>
      <w:pPr>
        <w:pStyle w:val="FirstParagraph"/>
      </w:pPr>
      <w:r>
        <w:t xml:space="preserve">الاستثمار في الأمن السيبراني يخلق قيمة تجارية كبيرة: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عائد 253%</w:t>
      </w:r>
      <w:r>
        <w:t xml:space="preserve"> </w:t>
      </w:r>
      <w:r>
        <w:t xml:space="preserve">في السنة الأولى من التنفيذ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ميزة تنافسية</w:t>
      </w:r>
      <w:r>
        <w:t xml:space="preserve"> </w:t>
      </w:r>
      <w:r>
        <w:t xml:space="preserve">من خلال شهادة الأمان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توسع السوق</w:t>
      </w:r>
      <w:r>
        <w:t xml:space="preserve"> </w:t>
      </w:r>
      <w:r>
        <w:t xml:space="preserve">في القطاعات الواعية بالأمان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تخفيف المخاطر</w:t>
      </w:r>
      <w:r>
        <w:t xml:space="preserve"> </w:t>
      </w:r>
      <w:r>
        <w:t xml:space="preserve">والتميز التشغيلي</w:t>
      </w:r>
    </w:p>
    <w:bookmarkEnd w:id="43"/>
    <w:bookmarkStart w:id="44" w:name="إجراءات-مجلس-الإدارة-المطلوبة-فوراً"/>
    <w:p>
      <w:pPr>
        <w:pStyle w:val="Heading2"/>
      </w:pPr>
      <w:r>
        <w:t xml:space="preserve">إجراءات مجلس الإدارة المطلوبة فوراً</w:t>
      </w:r>
    </w:p>
    <w:p>
      <w:pPr>
        <w:pStyle w:val="FirstParagraph"/>
      </w:pPr>
      <w:r>
        <w:rPr>
          <w:b/>
          <w:bCs/>
        </w:rPr>
        <w:t xml:space="preserve">اليوم:</w:t>
      </w:r>
    </w:p>
    <w:p>
      <w:pPr>
        <w:pStyle w:val="Compact"/>
        <w:numPr>
          <w:ilvl w:val="0"/>
          <w:numId w:val="1040"/>
        </w:numPr>
      </w:pPr>
      <w:r>
        <w:t xml:space="preserve">الموافقة على ميزانية الاستجابة الطارئة ($150,000)</w:t>
      </w:r>
    </w:p>
    <w:p>
      <w:pPr>
        <w:pStyle w:val="Compact"/>
        <w:numPr>
          <w:ilvl w:val="0"/>
          <w:numId w:val="1040"/>
        </w:numPr>
      </w:pPr>
      <w:r>
        <w:t xml:space="preserve">تفويض تفعيل إدارة الأزمات</w:t>
      </w:r>
    </w:p>
    <w:p>
      <w:pPr>
        <w:pStyle w:val="Compact"/>
        <w:numPr>
          <w:ilvl w:val="0"/>
          <w:numId w:val="1040"/>
        </w:numPr>
      </w:pPr>
      <w:r>
        <w:t xml:space="preserve">تعيين نقطة اتصال تنفيذية</w:t>
      </w:r>
    </w:p>
    <w:p>
      <w:pPr>
        <w:pStyle w:val="FirstParagraph"/>
      </w:pPr>
      <w:r>
        <w:rPr>
          <w:b/>
          <w:bCs/>
        </w:rPr>
        <w:t xml:space="preserve">هذا الأسبوع:</w:t>
      </w:r>
    </w:p>
    <w:p>
      <w:pPr>
        <w:pStyle w:val="Compact"/>
        <w:numPr>
          <w:ilvl w:val="0"/>
          <w:numId w:val="1041"/>
        </w:numPr>
      </w:pPr>
      <w:r>
        <w:t xml:space="preserve">الموافقة على برنامج الأمان الشامل ($950,000)</w:t>
      </w:r>
    </w:p>
    <w:p>
      <w:pPr>
        <w:pStyle w:val="Compact"/>
        <w:numPr>
          <w:ilvl w:val="0"/>
          <w:numId w:val="1041"/>
        </w:numPr>
      </w:pPr>
      <w:r>
        <w:t xml:space="preserve">بدء عملية توظيف CISO</w:t>
      </w:r>
    </w:p>
    <w:p>
      <w:pPr>
        <w:pStyle w:val="Compact"/>
        <w:numPr>
          <w:ilvl w:val="0"/>
          <w:numId w:val="1041"/>
        </w:numPr>
      </w:pPr>
      <w:r>
        <w:t xml:space="preserve">إنشاء اللجنة الفرعية للأمن السيبراني في مجلس الإدارة</w:t>
      </w:r>
    </w:p>
    <w:p>
      <w:pPr>
        <w:pStyle w:val="FirstParagraph"/>
      </w:pPr>
      <w:r>
        <w:rPr>
          <w:b/>
          <w:bCs/>
        </w:rPr>
        <w:t xml:space="preserve">هذا الشهر:</w:t>
      </w:r>
    </w:p>
    <w:p>
      <w:pPr>
        <w:pStyle w:val="Compact"/>
        <w:numPr>
          <w:ilvl w:val="0"/>
          <w:numId w:val="1042"/>
        </w:numPr>
      </w:pPr>
      <w:r>
        <w:t xml:space="preserve">إكمال تنفيذ المرحلة 1</w:t>
      </w:r>
    </w:p>
    <w:p>
      <w:pPr>
        <w:pStyle w:val="Compact"/>
        <w:numPr>
          <w:ilvl w:val="0"/>
          <w:numId w:val="1042"/>
        </w:numPr>
      </w:pPr>
      <w:r>
        <w:t xml:space="preserve">بدء تنفيذ المرحلة 2</w:t>
      </w:r>
    </w:p>
    <w:p>
      <w:pPr>
        <w:pStyle w:val="Compact"/>
        <w:numPr>
          <w:ilvl w:val="0"/>
          <w:numId w:val="1042"/>
        </w:numPr>
      </w:pPr>
      <w:r>
        <w:t xml:space="preserve">تنفيذ تقارير الأمان على مستوى مجلس الإدارة</w:t>
      </w:r>
    </w:p>
    <w:bookmarkEnd w:id="44"/>
    <w:bookmarkStart w:id="45" w:name="التوصية-النهائية"/>
    <w:p>
      <w:pPr>
        <w:pStyle w:val="Heading2"/>
      </w:pPr>
      <w:r>
        <w:t xml:space="preserve">التوصية النهائية</w:t>
      </w:r>
    </w:p>
    <w:p>
      <w:pPr>
        <w:pStyle w:val="FirstParagraph"/>
      </w:pPr>
      <w:r>
        <w:rPr>
          <w:b/>
          <w:bCs/>
        </w:rPr>
        <w:t xml:space="preserve">الأمن السيبراني لم يعد قضية تقنية معلومات—إنه ضرورة تجارية استراتيجية</w:t>
      </w:r>
      <w:r>
        <w:t xml:space="preserve"> </w:t>
      </w:r>
      <w:r>
        <w:t xml:space="preserve">تتطلب اهتمام واستثمار على مستوى مجلس الإدارة. البرنامج المقترح لن يقضي على المخاطر الحالية فحسب، بل سيؤسس ميزة تنافسية مستدامة في الاقتصاد الرقمي.</w:t>
      </w:r>
    </w:p>
    <w:p>
      <w:pPr>
        <w:pStyle w:val="BodyText"/>
      </w:pPr>
      <w:r>
        <w:rPr>
          <w:b/>
          <w:bCs/>
        </w:rPr>
        <w:t xml:space="preserve">الوقت للعمل هو الآن.</w:t>
      </w:r>
      <w:r>
        <w:t xml:space="preserve"> </w:t>
      </w:r>
      <w:r>
        <w:t xml:space="preserve">كل يوم تأخير يزيد من التعرض للمخاطر والخسائر المحتملة. نوصي بالموافقة الفورية على خطة الاستجابة الطارئة وبرنامج الاستثمار الأمني الشامل في اجتماع مجلس الإدارة القادم.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هذا التقرير مبني على تقييم أمني شامل باستخدام منهجيات ومعايير رائدة في الصناعة. جميع التوصيات تعكس أفضل الممارسات الحالية ومدعومة بأحدث البحوث وبيانات الحوادث في الأمن السيبراني.</w:t>
      </w:r>
    </w:p>
    <w:bookmarkEnd w:id="45"/>
    <w:bookmarkEnd w:id="46"/>
    <w:bookmarkStart w:id="51" w:name="الملاحق"/>
    <w:p>
      <w:pPr>
        <w:pStyle w:val="Heading1"/>
      </w:pPr>
      <w:r>
        <w:t xml:space="preserve">الملاحق</w:t>
      </w:r>
    </w:p>
    <w:bookmarkStart w:id="47" w:name="الملحق-أ-ملخص-المتطلبات-التنظيمية"/>
    <w:p>
      <w:pPr>
        <w:pStyle w:val="Heading2"/>
      </w:pPr>
      <w:r>
        <w:t xml:space="preserve">الملحق أ: ملخص المتطلبات التنظيمية</w:t>
      </w:r>
    </w:p>
    <w:p>
      <w:pPr>
        <w:pStyle w:val="FirstParagraph"/>
      </w:pPr>
      <w:r>
        <w:rPr>
          <w:b/>
          <w:bCs/>
        </w:rPr>
        <w:t xml:space="preserve">التزامات امتثال GDPR:</w:t>
      </w:r>
    </w:p>
    <w:p>
      <w:pPr>
        <w:pStyle w:val="Compact"/>
        <w:numPr>
          <w:ilvl w:val="0"/>
          <w:numId w:val="1043"/>
        </w:numPr>
      </w:pPr>
      <w:r>
        <w:t xml:space="preserve">إخطار خرق خلال 72 ساعة للسلطة الإشرافية</w:t>
      </w:r>
    </w:p>
    <w:p>
      <w:pPr>
        <w:pStyle w:val="Compact"/>
        <w:numPr>
          <w:ilvl w:val="0"/>
          <w:numId w:val="1043"/>
        </w:numPr>
      </w:pPr>
      <w:r>
        <w:t xml:space="preserve">إخطار الأفراد المتأثرين خلال 30 يوماً</w:t>
      </w:r>
    </w:p>
    <w:p>
      <w:pPr>
        <w:pStyle w:val="Compact"/>
        <w:numPr>
          <w:ilvl w:val="0"/>
          <w:numId w:val="1043"/>
        </w:numPr>
      </w:pPr>
      <w:r>
        <w:t xml:space="preserve">تقييمات تأثير حماية البيانات (DPIA)</w:t>
      </w:r>
    </w:p>
    <w:p>
      <w:pPr>
        <w:pStyle w:val="Compact"/>
        <w:numPr>
          <w:ilvl w:val="0"/>
          <w:numId w:val="1043"/>
        </w:numPr>
      </w:pPr>
      <w:r>
        <w:t xml:space="preserve">تنفيذ الخصوصية بالتصميم</w:t>
      </w:r>
    </w:p>
    <w:p>
      <w:pPr>
        <w:pStyle w:val="FirstParagraph"/>
      </w:pPr>
      <w:r>
        <w:rPr>
          <w:b/>
          <w:bCs/>
        </w:rPr>
        <w:t xml:space="preserve">الإجراءات القانونية المطلوبة فوراً:</w:t>
      </w:r>
    </w:p>
    <w:p>
      <w:pPr>
        <w:pStyle w:val="Compact"/>
        <w:numPr>
          <w:ilvl w:val="0"/>
          <w:numId w:val="1044"/>
        </w:numPr>
      </w:pPr>
      <w:r>
        <w:t xml:space="preserve">إشراك مستشار قانوني متخصص في GDPR</w:t>
      </w:r>
    </w:p>
    <w:p>
      <w:pPr>
        <w:pStyle w:val="Compact"/>
        <w:numPr>
          <w:ilvl w:val="0"/>
          <w:numId w:val="1044"/>
        </w:numPr>
      </w:pPr>
      <w:r>
        <w:t xml:space="preserve">إعداد وثائق إخطار الخرق</w:t>
      </w:r>
    </w:p>
    <w:p>
      <w:pPr>
        <w:pStyle w:val="Compact"/>
        <w:numPr>
          <w:ilvl w:val="0"/>
          <w:numId w:val="1044"/>
        </w:numPr>
      </w:pPr>
      <w:r>
        <w:t xml:space="preserve">تقييم متطلبات إخطار موضوع البيانات</w:t>
      </w:r>
    </w:p>
    <w:p>
      <w:pPr>
        <w:pStyle w:val="Compact"/>
        <w:numPr>
          <w:ilvl w:val="0"/>
          <w:numId w:val="1044"/>
        </w:numPr>
      </w:pPr>
      <w:r>
        <w:t xml:space="preserve">مراجعة التغطية التأمينية وعملية المطالبات</w:t>
      </w:r>
    </w:p>
    <w:bookmarkEnd w:id="47"/>
    <w:bookmarkStart w:id="48" w:name="الملحق-ب-التحليل-التنافسي"/>
    <w:p>
      <w:pPr>
        <w:pStyle w:val="Heading2"/>
      </w:pPr>
      <w:r>
        <w:t xml:space="preserve">الملحق ب: التحليل التنافسي</w:t>
      </w:r>
    </w:p>
    <w:p>
      <w:pPr>
        <w:pStyle w:val="FirstParagraph"/>
      </w:pPr>
      <w:r>
        <w:rPr>
          <w:b/>
          <w:bCs/>
        </w:rPr>
        <w:t xml:space="preserve">فوائد شهادة الأمان:</w:t>
      </w:r>
    </w:p>
    <w:p>
      <w:pPr>
        <w:pStyle w:val="Compact"/>
        <w:numPr>
          <w:ilvl w:val="0"/>
          <w:numId w:val="1045"/>
        </w:numPr>
      </w:pPr>
      <w:r>
        <w:t xml:space="preserve">الوصول إلى قاعدة عملاء المؤسسات التي تتطلب SOC 2</w:t>
      </w:r>
    </w:p>
    <w:p>
      <w:pPr>
        <w:pStyle w:val="Compact"/>
        <w:numPr>
          <w:ilvl w:val="0"/>
          <w:numId w:val="1045"/>
        </w:numPr>
      </w:pPr>
      <w:r>
        <w:t xml:space="preserve">أهلية العقود الحكومية</w:t>
      </w:r>
    </w:p>
    <w:p>
      <w:pPr>
        <w:pStyle w:val="Compact"/>
        <w:numPr>
          <w:ilvl w:val="0"/>
          <w:numId w:val="1045"/>
        </w:numPr>
      </w:pPr>
      <w:r>
        <w:t xml:space="preserve">تقليل أقساط التأمين السيبراني</w:t>
      </w:r>
    </w:p>
    <w:p>
      <w:pPr>
        <w:pStyle w:val="Compact"/>
        <w:numPr>
          <w:ilvl w:val="0"/>
          <w:numId w:val="1045"/>
        </w:numPr>
      </w:pPr>
      <w:r>
        <w:t xml:space="preserve">تعزيز ثقة المستثمرين</w:t>
      </w:r>
    </w:p>
    <w:p>
      <w:pPr>
        <w:pStyle w:val="FirstParagraph"/>
      </w:pPr>
      <w:r>
        <w:rPr>
          <w:b/>
          <w:bCs/>
        </w:rPr>
        <w:t xml:space="preserve">الموقع السوقي:</w:t>
      </w:r>
    </w:p>
    <w:p>
      <w:pPr>
        <w:pStyle w:val="Compact"/>
        <w:numPr>
          <w:ilvl w:val="0"/>
          <w:numId w:val="1046"/>
        </w:numPr>
      </w:pPr>
      <w:r>
        <w:t xml:space="preserve">التمييز من خلال قيادة الأمان</w:t>
      </w:r>
    </w:p>
    <w:p>
      <w:pPr>
        <w:pStyle w:val="Compact"/>
        <w:numPr>
          <w:ilvl w:val="0"/>
          <w:numId w:val="1046"/>
        </w:numPr>
      </w:pPr>
      <w:r>
        <w:t xml:space="preserve">تسعير متميز للخدمات الآمنة</w:t>
      </w:r>
    </w:p>
    <w:p>
      <w:pPr>
        <w:pStyle w:val="Compact"/>
        <w:numPr>
          <w:ilvl w:val="0"/>
          <w:numId w:val="1046"/>
        </w:numPr>
      </w:pPr>
      <w:r>
        <w:t xml:space="preserve">فرص الشراكة مع المنظمات الواعية بالأمان</w:t>
      </w:r>
    </w:p>
    <w:bookmarkEnd w:id="48"/>
    <w:bookmarkStart w:id="49" w:name="الملحق-ج-الجدول-الزمني-للتنفيذ"/>
    <w:p>
      <w:pPr>
        <w:pStyle w:val="Heading2"/>
      </w:pPr>
      <w:r>
        <w:t xml:space="preserve">الملحق ج: الجدول الزمني للتنفيذ</w:t>
      </w:r>
    </w:p>
    <w:p>
      <w:pPr>
        <w:pStyle w:val="FirstParagraph"/>
      </w:pPr>
      <w:r>
        <w:rPr>
          <w:b/>
          <w:bCs/>
        </w:rPr>
        <w:t xml:space="preserve">المرحلة 1 (0-72 ساعة):</w:t>
      </w:r>
    </w:p>
    <w:p>
      <w:pPr>
        <w:pStyle w:val="Compact"/>
        <w:numPr>
          <w:ilvl w:val="0"/>
          <w:numId w:val="1047"/>
        </w:numPr>
      </w:pPr>
      <w:r>
        <w:t xml:space="preserve">الساعة 0-4: تفعيل الاستجابة الطارئة</w:t>
      </w:r>
    </w:p>
    <w:p>
      <w:pPr>
        <w:pStyle w:val="Compact"/>
        <w:numPr>
          <w:ilvl w:val="0"/>
          <w:numId w:val="1047"/>
        </w:numPr>
      </w:pPr>
      <w:r>
        <w:t xml:space="preserve">الساعة 4-24: معالجة الثغرات</w:t>
      </w:r>
    </w:p>
    <w:p>
      <w:pPr>
        <w:pStyle w:val="Compact"/>
        <w:numPr>
          <w:ilvl w:val="0"/>
          <w:numId w:val="1047"/>
        </w:numPr>
      </w:pPr>
      <w:r>
        <w:t xml:space="preserve">الساعة 24-72: الامتثال التنظيمي والاتصالات</w:t>
      </w:r>
    </w:p>
    <w:p>
      <w:pPr>
        <w:pStyle w:val="FirstParagraph"/>
      </w:pPr>
      <w:r>
        <w:rPr>
          <w:b/>
          <w:bCs/>
        </w:rPr>
        <w:t xml:space="preserve">المرحلة 2 (1-4 أسابيع):</w:t>
      </w:r>
    </w:p>
    <w:p>
      <w:pPr>
        <w:pStyle w:val="Compact"/>
        <w:numPr>
          <w:ilvl w:val="0"/>
          <w:numId w:val="1048"/>
        </w:numPr>
      </w:pPr>
      <w:r>
        <w:t xml:space="preserve">الأسبوع 1: نشر البنية التحتية الأمنية</w:t>
      </w:r>
    </w:p>
    <w:p>
      <w:pPr>
        <w:pStyle w:val="Compact"/>
        <w:numPr>
          <w:ilvl w:val="0"/>
          <w:numId w:val="1048"/>
        </w:numPr>
      </w:pPr>
      <w:r>
        <w:t xml:space="preserve">الأسبوع 2-3: تنفيذ التحكم في الوصول</w:t>
      </w:r>
    </w:p>
    <w:p>
      <w:pPr>
        <w:pStyle w:val="Compact"/>
        <w:numPr>
          <w:ilvl w:val="0"/>
          <w:numId w:val="1048"/>
        </w:numPr>
      </w:pPr>
      <w:r>
        <w:t xml:space="preserve">الأسبوع 4: إطار المراقبة والامتثال</w:t>
      </w:r>
    </w:p>
    <w:p>
      <w:pPr>
        <w:pStyle w:val="FirstParagraph"/>
      </w:pPr>
      <w:r>
        <w:rPr>
          <w:b/>
          <w:bCs/>
        </w:rPr>
        <w:t xml:space="preserve">المرحلة 3 (2-12 شهراً):</w:t>
      </w:r>
    </w:p>
    <w:p>
      <w:pPr>
        <w:pStyle w:val="Compact"/>
        <w:numPr>
          <w:ilvl w:val="0"/>
          <w:numId w:val="1049"/>
        </w:numPr>
      </w:pPr>
      <w:r>
        <w:t xml:space="preserve">الشهر 1-2: توظيف CISO وبناء الفريق</w:t>
      </w:r>
    </w:p>
    <w:p>
      <w:pPr>
        <w:pStyle w:val="Compact"/>
        <w:numPr>
          <w:ilvl w:val="0"/>
          <w:numId w:val="1049"/>
        </w:numPr>
      </w:pPr>
      <w:r>
        <w:t xml:space="preserve">الشهر 3-6: تنفيذ منصة التكنولوجيا</w:t>
      </w:r>
    </w:p>
    <w:p>
      <w:pPr>
        <w:pStyle w:val="Compact"/>
        <w:numPr>
          <w:ilvl w:val="0"/>
          <w:numId w:val="1049"/>
        </w:numPr>
      </w:pPr>
      <w:r>
        <w:t xml:space="preserve">الشهر 6-12: الشهادات والتحسين المستمر</w:t>
      </w:r>
    </w:p>
    <w:bookmarkEnd w:id="49"/>
    <w:bookmarkStart w:id="50" w:name="معلومات-الاتصال"/>
    <w:p>
      <w:pPr>
        <w:pStyle w:val="Heading2"/>
      </w:pPr>
      <w:r>
        <w:t xml:space="preserve">معلومات الاتصال</w:t>
      </w:r>
    </w:p>
    <w:p>
      <w:pPr>
        <w:pStyle w:val="FirstParagraph"/>
      </w:pPr>
      <w:r>
        <w:rPr>
          <w:b/>
          <w:bCs/>
        </w:rPr>
        <w:t xml:space="preserve">للاستجابة الطارئة:</w:t>
      </w:r>
    </w:p>
    <w:p>
      <w:pPr>
        <w:pStyle w:val="Compact"/>
        <w:numPr>
          <w:ilvl w:val="0"/>
          <w:numId w:val="1050"/>
        </w:numPr>
      </w:pPr>
      <w:r>
        <w:t xml:space="preserve">كبير مسؤولي أمن المعلومات: [تفاصيل الاتصال]</w:t>
      </w:r>
    </w:p>
    <w:p>
      <w:pPr>
        <w:pStyle w:val="Compact"/>
        <w:numPr>
          <w:ilvl w:val="0"/>
          <w:numId w:val="1050"/>
        </w:numPr>
      </w:pPr>
      <w:r>
        <w:t xml:space="preserve">مستشار الأمان الخارجي: [تفاصيل الاتصال]</w:t>
      </w:r>
    </w:p>
    <w:p>
      <w:pPr>
        <w:pStyle w:val="Compact"/>
        <w:numPr>
          <w:ilvl w:val="0"/>
          <w:numId w:val="1050"/>
        </w:numPr>
      </w:pPr>
      <w:r>
        <w:t xml:space="preserve">المستشار القانوني: [تفاصيل الاتصال]</w:t>
      </w:r>
    </w:p>
    <w:p>
      <w:pPr>
        <w:pStyle w:val="FirstParagraph"/>
      </w:pPr>
      <w:r>
        <w:rPr>
          <w:b/>
          <w:bCs/>
        </w:rPr>
        <w:t xml:space="preserve">للتخطيط الاستراتيجي:</w:t>
      </w:r>
    </w:p>
    <w:p>
      <w:pPr>
        <w:pStyle w:val="Compact"/>
        <w:numPr>
          <w:ilvl w:val="0"/>
          <w:numId w:val="1051"/>
        </w:numPr>
      </w:pPr>
      <w:r>
        <w:t xml:space="preserve">لجنة المخاطر والتدقيق: [تفاصيل الاتصال]</w:t>
      </w:r>
    </w:p>
    <w:p>
      <w:pPr>
        <w:pStyle w:val="Compact"/>
        <w:numPr>
          <w:ilvl w:val="0"/>
          <w:numId w:val="1051"/>
        </w:numPr>
      </w:pPr>
      <w:r>
        <w:t xml:space="preserve">أمين سر مجلس الإدارة: [تفاصيل الاتصال]</w:t>
      </w:r>
    </w:p>
    <w:p>
      <w:pPr>
        <w:pStyle w:val="Compact"/>
        <w:numPr>
          <w:ilvl w:val="0"/>
          <w:numId w:val="1051"/>
        </w:numPr>
      </w:pPr>
      <w:r>
        <w:t xml:space="preserve">المساعد التنفيذي: [تفاصيل الاتصال]</w:t>
      </w:r>
    </w:p>
    <w:bookmarkEnd w:id="50"/>
    <w:bookmarkEnd w:id="5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ONLYOFFICE/9.2.1.43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الأمن السيبراني التنفيذي: تقييم المخاطر الحرجة وخطة العمل الاستراتيجية</dc:title>
  <dc:creator>كبير مسؤولي أمن المعلومات</dc:creator>
  <cp:keywords/>
  <dcterms:created xsi:type="dcterms:W3CDTF">2026-01-02T11:40:12Z</dcterms:created>
  <dcterms:modified xsi:type="dcterms:W3CDTF">2026-01-02T11:40:12Z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2026-01-02</vt:lpwstr>
  </property>
</Properties>
</file>