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Executive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Report:</w:t>
      </w:r>
      <w:r>
        <w:t xml:space="preserve"> </w:t>
      </w:r>
      <w:r>
        <w:t xml:space="preserve">Critical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Strategic</w:t>
      </w:r>
      <w:r>
        <w:t xml:space="preserve"> </w:t>
      </w:r>
      <w:r>
        <w:t xml:space="preserve">Action</w:t>
      </w:r>
      <w:r>
        <w:t xml:space="preserve"> </w:t>
      </w:r>
      <w:r>
        <w:t xml:space="preserve">Plan</w:t>
      </w:r>
    </w:p>
    <w:p>
      <w:pPr>
        <w:pStyle w:val="Author"/>
      </w:pPr>
      <w:r>
        <w:t xml:space="preserve">Chief</w:t>
      </w:r>
      <w:r>
        <w:t xml:space="preserve"> </w:t>
      </w:r>
      <w:r>
        <w:t xml:space="preserve">Information</w:t>
      </w:r>
      <w:r>
        <w:t xml:space="preserve"> </w:t>
      </w:r>
      <w:r>
        <w:t xml:space="preserve">Security</w:t>
      </w:r>
      <w:r>
        <w:t xml:space="preserve"> </w:t>
      </w:r>
      <w:r>
        <w:t xml:space="preserve">Officer</w:t>
      </w:r>
    </w:p>
    <w:p>
      <w:pPr>
        <w:pStyle w:val="Date"/>
      </w:pPr>
      <w:r>
        <w:t xml:space="preserve">2026-01-02</w:t>
      </w:r>
    </w:p>
    <w:bookmarkStart w:id="2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presents a</w:t>
      </w:r>
      <w:r>
        <w:t xml:space="preserve"> </w:t>
      </w:r>
      <w:r>
        <w:rPr>
          <w:b/>
          <w:bCs/>
        </w:rPr>
        <w:t xml:space="preserve">critical assessment</w:t>
      </w:r>
      <w:r>
        <w:t xml:space="preserve"> </w:t>
      </w:r>
      <w:r>
        <w:t xml:space="preserve">of our organization's cybersecurity posture based on a comprehensive security audit conducted on December 30, 2025.</w:t>
      </w:r>
      <w:r>
        <w:t xml:space="preserve"> </w:t>
      </w:r>
      <w:r>
        <w:rPr>
          <w:b/>
          <w:bCs/>
        </w:rPr>
        <w:t xml:space="preserve">Immediate executive intervention is required</w:t>
      </w:r>
      <w:r>
        <w:t xml:space="preserve"> </w:t>
      </w:r>
      <w:r>
        <w:t xml:space="preserve">to address severe vulnerabilities that pose significant threats to business continuity, regulatory compliance, and corporate reputation.</w:t>
      </w:r>
    </w:p>
    <w:p>
      <w:pPr>
        <w:pStyle w:val="BlockText"/>
      </w:pPr>
      <w:r>
        <w:rPr>
          <w:b/>
          <w:bCs/>
        </w:rPr>
        <w:t xml:space="preserve">🚨 CRITICAL ALERT</w:t>
      </w:r>
      <w:r>
        <w:t xml:space="preserve">: Personal data exposure detected. Immediate risk of GDPR fines up to €20M or 4% of annual revenue.</w:t>
      </w:r>
    </w:p>
    <w:bookmarkStart w:id="20" w:name="key-business-risks"/>
    <w:p>
      <w:pPr>
        <w:pStyle w:val="Heading2"/>
      </w:pPr>
      <w:r>
        <w:t xml:space="preserve">Key Business Risks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Fines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€20M (GDPR)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Reputational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customer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$50,000/hour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Breach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$4.88M average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</w:tbl>
    <w:bookmarkEnd w:id="20"/>
    <w:bookmarkStart w:id="21" w:name="immediate-actions-required"/>
    <w:p>
      <w:pPr>
        <w:pStyle w:val="Heading2"/>
      </w:pPr>
      <w:r>
        <w:t xml:space="preserve">Immediate Actions Required</w:t>
      </w:r>
    </w:p>
    <w:p>
      <w:pPr>
        <w:pStyle w:val="FirstParagraph"/>
      </w:pPr>
      <w:r>
        <w:rPr>
          <w:b/>
          <w:bCs/>
        </w:rPr>
        <w:t xml:space="preserve">Within 24 Hours:</w:t>
      </w:r>
    </w:p>
    <w:p>
      <w:pPr>
        <w:pStyle w:val="Compact"/>
        <w:numPr>
          <w:ilvl w:val="0"/>
          <w:numId w:val="1001"/>
        </w:numPr>
      </w:pPr>
      <w:r>
        <w:t xml:space="preserve">Approve emergency budget of $150,000 for critical vulnerability remediation</w:t>
      </w:r>
    </w:p>
    <w:p>
      <w:pPr>
        <w:pStyle w:val="Compact"/>
        <w:numPr>
          <w:ilvl w:val="0"/>
          <w:numId w:val="1001"/>
        </w:numPr>
      </w:pPr>
      <w:r>
        <w:t xml:space="preserve">Activate crisis communication plan</w:t>
      </w:r>
    </w:p>
    <w:p>
      <w:pPr>
        <w:pStyle w:val="Compact"/>
        <w:numPr>
          <w:ilvl w:val="0"/>
          <w:numId w:val="1001"/>
        </w:numPr>
      </w:pPr>
      <w:r>
        <w:t xml:space="preserve">Notify regulatory authorities of potential data exposure</w:t>
      </w:r>
    </w:p>
    <w:p>
      <w:pPr>
        <w:pStyle w:val="FirstParagraph"/>
      </w:pPr>
      <w:r>
        <w:rPr>
          <w:b/>
          <w:bCs/>
        </w:rPr>
        <w:t xml:space="preserve">Within 2 Weeks:</w:t>
      </w:r>
    </w:p>
    <w:p>
      <w:pPr>
        <w:pStyle w:val="Compact"/>
        <w:numPr>
          <w:ilvl w:val="0"/>
          <w:numId w:val="1002"/>
        </w:numPr>
      </w:pPr>
      <w:r>
        <w:t xml:space="preserve">Approve comprehensive security investment program ($950,000)</w:t>
      </w:r>
    </w:p>
    <w:p>
      <w:pPr>
        <w:pStyle w:val="Compact"/>
        <w:numPr>
          <w:ilvl w:val="0"/>
          <w:numId w:val="1002"/>
        </w:numPr>
      </w:pPr>
      <w:r>
        <w:t xml:space="preserve">Initiate CISO recruitment process</w:t>
      </w:r>
    </w:p>
    <w:p>
      <w:pPr>
        <w:pStyle w:val="Compact"/>
        <w:numPr>
          <w:ilvl w:val="0"/>
          <w:numId w:val="1002"/>
        </w:numPr>
      </w:pPr>
      <w:r>
        <w:t xml:space="preserve">Establish board-level cybersecurity oversight committee</w:t>
      </w:r>
    </w:p>
    <w:bookmarkEnd w:id="21"/>
    <w:bookmarkEnd w:id="22"/>
    <w:bookmarkStart w:id="26" w:name="business-impact-analysis"/>
    <w:p>
      <w:pPr>
        <w:pStyle w:val="Heading1"/>
      </w:pPr>
      <w:r>
        <w:t xml:space="preserve">Business Impact Analysis</w:t>
      </w:r>
    </w:p>
    <w:bookmarkStart w:id="23" w:name="regulatory-compliance-crisis"/>
    <w:p>
      <w:pPr>
        <w:pStyle w:val="Heading2"/>
      </w:pPr>
      <w:r>
        <w:t xml:space="preserve">Regulatory Compliance Crisis</w:t>
      </w:r>
    </w:p>
    <w:p>
      <w:pPr>
        <w:pStyle w:val="FirstParagraph"/>
      </w:pPr>
      <w:r>
        <w:rPr>
          <w:b/>
          <w:bCs/>
        </w:rPr>
        <w:t xml:space="preserve">Current Compliance Status: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Critical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€20M or 4%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 per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+ imprisonment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Regulatory Environment 2025-2026: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40% increase</w:t>
      </w:r>
      <w:r>
        <w:t xml:space="preserve"> </w:t>
      </w:r>
      <w:r>
        <w:t xml:space="preserve">in average cybersecurity fines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24-hour notification</w:t>
      </w:r>
      <w:r>
        <w:t xml:space="preserve"> </w:t>
      </w:r>
      <w:r>
        <w:t xml:space="preserve">requirements becoming standard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Personal liability</w:t>
      </w:r>
      <w:r>
        <w:t xml:space="preserve"> </w:t>
      </w:r>
      <w:r>
        <w:t xml:space="preserve">for executives increasing globally</w:t>
      </w:r>
    </w:p>
    <w:bookmarkEnd w:id="23"/>
    <w:bookmarkStart w:id="24" w:name="reputational-risk-assessment"/>
    <w:p>
      <w:pPr>
        <w:pStyle w:val="Heading2"/>
      </w:pPr>
      <w:r>
        <w:t xml:space="preserve">Reputational Risk Assessment</w:t>
      </w:r>
    </w:p>
    <w:p>
      <w:pPr>
        <w:pStyle w:val="FirstParagraph"/>
      </w:pPr>
      <w:r>
        <w:rPr>
          <w:b/>
          <w:bCs/>
        </w:rPr>
        <w:t xml:space="preserve">Industry Benchmarks from 2024 Data Breaches:</w:t>
      </w:r>
    </w:p>
    <w:p>
      <w:pPr>
        <w:pStyle w:val="BodyText"/>
      </w:pPr>
      <w:r>
        <w:t xml:space="preserve">Based on analysis of 165 companies affected by data breaches in 2024: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30% customer base loss</w:t>
      </w:r>
      <w:r>
        <w:t xml:space="preserve"> </w:t>
      </w:r>
      <w:r>
        <w:t xml:space="preserve">within 6 months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25% stock price decline</w:t>
      </w:r>
      <w:r>
        <w:t xml:space="preserve"> </w:t>
      </w:r>
      <w:r>
        <w:t xml:space="preserve">in first 30 days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2-3 years</w:t>
      </w:r>
      <w:r>
        <w:t xml:space="preserve"> </w:t>
      </w:r>
      <w:r>
        <w:t xml:space="preserve">required for trust recovery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$2M average</w:t>
      </w:r>
      <w:r>
        <w:t xml:space="preserve"> </w:t>
      </w:r>
      <w:r>
        <w:t xml:space="preserve">reputation recovery costs</w:t>
      </w:r>
    </w:p>
    <w:p>
      <w:pPr>
        <w:pStyle w:val="FirstParagraph"/>
      </w:pPr>
      <w:r>
        <w:rPr>
          <w:b/>
          <w:bCs/>
        </w:rPr>
        <w:t xml:space="preserve">Competitive Impact:</w:t>
      </w:r>
    </w:p>
    <w:p>
      <w:pPr>
        <w:pStyle w:val="Compact"/>
        <w:numPr>
          <w:ilvl w:val="0"/>
          <w:numId w:val="1005"/>
        </w:numPr>
      </w:pPr>
      <w:r>
        <w:t xml:space="preserve">Loss of enterprise clients requiring security certifications</w:t>
      </w:r>
    </w:p>
    <w:p>
      <w:pPr>
        <w:pStyle w:val="Compact"/>
        <w:numPr>
          <w:ilvl w:val="0"/>
          <w:numId w:val="1005"/>
        </w:numPr>
      </w:pPr>
      <w:r>
        <w:t xml:space="preserve">Inability to bid on government contracts</w:t>
      </w:r>
    </w:p>
    <w:p>
      <w:pPr>
        <w:pStyle w:val="Compact"/>
        <w:numPr>
          <w:ilvl w:val="0"/>
          <w:numId w:val="1005"/>
        </w:numPr>
      </w:pPr>
      <w:r>
        <w:t xml:space="preserve">Increased insurance premiums (30-50% typical increase)</w:t>
      </w:r>
    </w:p>
    <w:p>
      <w:pPr>
        <w:pStyle w:val="Compact"/>
        <w:numPr>
          <w:ilvl w:val="0"/>
          <w:numId w:val="1005"/>
        </w:numPr>
      </w:pPr>
      <w:r>
        <w:t xml:space="preserve">Difficulty attracting top talent</w:t>
      </w:r>
    </w:p>
    <w:bookmarkEnd w:id="24"/>
    <w:bookmarkStart w:id="25" w:name="operational-continuity-threats"/>
    <w:p>
      <w:pPr>
        <w:pStyle w:val="Heading2"/>
      </w:pPr>
      <w:r>
        <w:t xml:space="preserve">Operational Continuity Threats</w:t>
      </w:r>
    </w:p>
    <w:p>
      <w:pPr>
        <w:pStyle w:val="FirstParagraph"/>
      </w:pPr>
      <w:r>
        <w:rPr>
          <w:b/>
          <w:bCs/>
        </w:rPr>
        <w:t xml:space="preserve">Current Vulnerabilities: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Critical Data Exposure</w:t>
      </w:r>
    </w:p>
    <w:p>
      <w:pPr>
        <w:pStyle w:val="Compact"/>
        <w:numPr>
          <w:ilvl w:val="1"/>
          <w:numId w:val="1007"/>
        </w:numPr>
      </w:pPr>
      <w:r>
        <w:t xml:space="preserve">All customer personal data accessible via unsecured API</w:t>
      </w:r>
    </w:p>
    <w:p>
      <w:pPr>
        <w:pStyle w:val="Compact"/>
        <w:numPr>
          <w:ilvl w:val="1"/>
          <w:numId w:val="1007"/>
        </w:numPr>
      </w:pPr>
      <w:r>
        <w:t xml:space="preserve">No access controls on sensitive endpoints</w:t>
      </w:r>
    </w:p>
    <w:p>
      <w:pPr>
        <w:pStyle w:val="Compact"/>
        <w:numPr>
          <w:ilvl w:val="1"/>
          <w:numId w:val="1007"/>
        </w:numPr>
      </w:pPr>
      <w:r>
        <w:t xml:space="preserve">Real-time exploitation risk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Infrastructure Weaknesses</w:t>
      </w:r>
    </w:p>
    <w:p>
      <w:pPr>
        <w:pStyle w:val="Compact"/>
        <w:numPr>
          <w:ilvl w:val="1"/>
          <w:numId w:val="1008"/>
        </w:numPr>
      </w:pPr>
      <w:r>
        <w:t xml:space="preserve">Missing basic security headers</w:t>
      </w:r>
    </w:p>
    <w:p>
      <w:pPr>
        <w:pStyle w:val="Compact"/>
        <w:numPr>
          <w:ilvl w:val="1"/>
          <w:numId w:val="1008"/>
        </w:numPr>
      </w:pPr>
      <w:r>
        <w:t xml:space="preserve">Vulnerable external resource loading</w:t>
      </w:r>
    </w:p>
    <w:p>
      <w:pPr>
        <w:pStyle w:val="Compact"/>
        <w:numPr>
          <w:ilvl w:val="1"/>
          <w:numId w:val="1008"/>
        </w:numPr>
      </w:pPr>
      <w:r>
        <w:t xml:space="preserve">No incident response capabilities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Operational Risks</w:t>
      </w:r>
    </w:p>
    <w:p>
      <w:pPr>
        <w:pStyle w:val="Compact"/>
        <w:numPr>
          <w:ilvl w:val="1"/>
          <w:numId w:val="1009"/>
        </w:numPr>
      </w:pPr>
      <w:r>
        <w:t xml:space="preserve">System downtime: $50,000 per hour</w:t>
      </w:r>
    </w:p>
    <w:p>
      <w:pPr>
        <w:pStyle w:val="Compact"/>
        <w:numPr>
          <w:ilvl w:val="1"/>
          <w:numId w:val="1009"/>
        </w:numPr>
      </w:pPr>
      <w:r>
        <w:t xml:space="preserve">Data recovery costs:</w:t>
      </w:r>
      <w:r>
        <w:t xml:space="preserve"> </w:t>
      </w:r>
      <m:oMath>
        <m:r>
          <m:t>200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</m:oMath>
      <w:r>
        <w:t xml:space="preserve">500,000</w:t>
      </w:r>
    </w:p>
    <w:p>
      <w:pPr>
        <w:pStyle w:val="Compact"/>
        <w:numPr>
          <w:ilvl w:val="1"/>
          <w:numId w:val="1009"/>
        </w:numPr>
      </w:pPr>
      <w:r>
        <w:t xml:space="preserve">Productivity loss: 40% in first week post-incident</w:t>
      </w:r>
    </w:p>
    <w:bookmarkEnd w:id="25"/>
    <w:bookmarkEnd w:id="26"/>
    <w:bookmarkStart w:id="30" w:name="strategic-action-plan"/>
    <w:p>
      <w:pPr>
        <w:pStyle w:val="Heading1"/>
      </w:pPr>
      <w:r>
        <w:t xml:space="preserve">Strategic Action Plan</w:t>
      </w:r>
    </w:p>
    <w:bookmarkStart w:id="27" w:name="phase-1-crisis-containment-0-72-hours"/>
    <w:p>
      <w:pPr>
        <w:pStyle w:val="Heading2"/>
      </w:pPr>
      <w:r>
        <w:t xml:space="preserve">Phase 1: Crisis Containment (0-72 Hours)</w:t>
      </w:r>
    </w:p>
    <w:p>
      <w:pPr>
        <w:pStyle w:val="FirstParagraph"/>
      </w:pPr>
      <w:r>
        <w:rPr>
          <w:b/>
          <w:bCs/>
        </w:rPr>
        <w:t xml:space="preserve">Budget Required: $150,000</w:t>
      </w:r>
    </w:p>
    <w:p>
      <w:pPr>
        <w:pStyle w:val="BodyText"/>
      </w:pPr>
      <w:r>
        <w:rPr>
          <w:b/>
          <w:bCs/>
        </w:rPr>
        <w:t xml:space="preserve">Critical Actions: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Immediate Data Protection</w:t>
      </w:r>
    </w:p>
    <w:p>
      <w:pPr>
        <w:pStyle w:val="Compact"/>
        <w:numPr>
          <w:ilvl w:val="1"/>
          <w:numId w:val="1011"/>
        </w:numPr>
      </w:pPr>
      <w:r>
        <w:t xml:space="preserve">Secure vulnerable API endpoints</w:t>
      </w:r>
    </w:p>
    <w:p>
      <w:pPr>
        <w:pStyle w:val="Compact"/>
        <w:numPr>
          <w:ilvl w:val="1"/>
          <w:numId w:val="1011"/>
        </w:numPr>
      </w:pPr>
      <w:r>
        <w:t xml:space="preserve">Audit all affected user accounts</w:t>
      </w:r>
    </w:p>
    <w:p>
      <w:pPr>
        <w:pStyle w:val="Compact"/>
        <w:numPr>
          <w:ilvl w:val="1"/>
          <w:numId w:val="1011"/>
        </w:numPr>
      </w:pPr>
      <w:r>
        <w:t xml:space="preserve">Implement emergency access controls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Regulatory Compliance</w:t>
      </w:r>
    </w:p>
    <w:p>
      <w:pPr>
        <w:pStyle w:val="Compact"/>
        <w:numPr>
          <w:ilvl w:val="1"/>
          <w:numId w:val="1012"/>
        </w:numPr>
      </w:pPr>
      <w:r>
        <w:t xml:space="preserve">File GDPR breach notification (72-hour requirement)</w:t>
      </w:r>
    </w:p>
    <w:p>
      <w:pPr>
        <w:pStyle w:val="Compact"/>
        <w:numPr>
          <w:ilvl w:val="1"/>
          <w:numId w:val="1012"/>
        </w:numPr>
      </w:pPr>
      <w:r>
        <w:t xml:space="preserve">Engage specialized cybersecurity legal counsel</w:t>
      </w:r>
    </w:p>
    <w:p>
      <w:pPr>
        <w:pStyle w:val="Compact"/>
        <w:numPr>
          <w:ilvl w:val="1"/>
          <w:numId w:val="1012"/>
        </w:numPr>
      </w:pPr>
      <w:r>
        <w:t xml:space="preserve">Prepare regulatory response documentation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Crisis Management</w:t>
      </w:r>
    </w:p>
    <w:p>
      <w:pPr>
        <w:pStyle w:val="Compact"/>
        <w:numPr>
          <w:ilvl w:val="1"/>
          <w:numId w:val="1013"/>
        </w:numPr>
      </w:pPr>
      <w:r>
        <w:t xml:space="preserve">Activate executive crisis team</w:t>
      </w:r>
    </w:p>
    <w:p>
      <w:pPr>
        <w:pStyle w:val="Compact"/>
        <w:numPr>
          <w:ilvl w:val="1"/>
          <w:numId w:val="1013"/>
        </w:numPr>
      </w:pPr>
      <w:r>
        <w:t xml:space="preserve">Prepare stakeholder communications</w:t>
      </w:r>
    </w:p>
    <w:p>
      <w:pPr>
        <w:pStyle w:val="Compact"/>
        <w:numPr>
          <w:ilvl w:val="1"/>
          <w:numId w:val="1013"/>
        </w:numPr>
      </w:pPr>
      <w:r>
        <w:t xml:space="preserve">Engage external security experts</w:t>
      </w:r>
    </w:p>
    <w:p>
      <w:pPr>
        <w:pStyle w:val="FirstParagraph"/>
      </w:pPr>
      <w:r>
        <w:rPr>
          <w:b/>
          <w:bCs/>
        </w:rPr>
        <w:t xml:space="preserve">Expected Outcomes:</w:t>
      </w:r>
    </w:p>
    <w:p>
      <w:pPr>
        <w:pStyle w:val="Compact"/>
        <w:numPr>
          <w:ilvl w:val="0"/>
          <w:numId w:val="1014"/>
        </w:numPr>
      </w:pPr>
      <w:r>
        <w:t xml:space="preserve">60% reduction in regulatory penalty risk</w:t>
      </w:r>
    </w:p>
    <w:p>
      <w:pPr>
        <w:pStyle w:val="Compact"/>
        <w:numPr>
          <w:ilvl w:val="0"/>
          <w:numId w:val="1014"/>
        </w:numPr>
      </w:pPr>
      <w:r>
        <w:t xml:space="preserve">Prevention of further data exposure</w:t>
      </w:r>
    </w:p>
    <w:p>
      <w:pPr>
        <w:pStyle w:val="Compact"/>
        <w:numPr>
          <w:ilvl w:val="0"/>
          <w:numId w:val="1014"/>
        </w:numPr>
      </w:pPr>
      <w:r>
        <w:t xml:space="preserve">Demonstration of proactive response to regulators</w:t>
      </w:r>
    </w:p>
    <w:bookmarkEnd w:id="27"/>
    <w:bookmarkStart w:id="28" w:name="phase-2-stabilization-1-4-weeks"/>
    <w:p>
      <w:pPr>
        <w:pStyle w:val="Heading2"/>
      </w:pPr>
      <w:r>
        <w:t xml:space="preserve">Phase 2: Stabilization (1-4 Weeks)</w:t>
      </w:r>
    </w:p>
    <w:p>
      <w:pPr>
        <w:pStyle w:val="FirstParagraph"/>
      </w:pPr>
      <w:r>
        <w:rPr>
          <w:b/>
          <w:bCs/>
        </w:rPr>
        <w:t xml:space="preserve">Budget Required: $300,000</w:t>
      </w:r>
    </w:p>
    <w:p>
      <w:pPr>
        <w:pStyle w:val="BodyText"/>
      </w:pPr>
      <w:r>
        <w:rPr>
          <w:b/>
          <w:bCs/>
        </w:rPr>
        <w:t xml:space="preserve">Key Initiatives: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Security Infrastructure</w:t>
      </w:r>
    </w:p>
    <w:p>
      <w:pPr>
        <w:pStyle w:val="Compact"/>
        <w:numPr>
          <w:ilvl w:val="1"/>
          <w:numId w:val="1016"/>
        </w:numPr>
      </w:pPr>
      <w:r>
        <w:t xml:space="preserve">Deploy essential security headers</w:t>
      </w:r>
    </w:p>
    <w:p>
      <w:pPr>
        <w:pStyle w:val="Compact"/>
        <w:numPr>
          <w:ilvl w:val="1"/>
          <w:numId w:val="1016"/>
        </w:numPr>
      </w:pPr>
      <w:r>
        <w:t xml:space="preserve">Implement Content Security Policy</w:t>
      </w:r>
    </w:p>
    <w:p>
      <w:pPr>
        <w:pStyle w:val="Compact"/>
        <w:numPr>
          <w:ilvl w:val="1"/>
          <w:numId w:val="1016"/>
        </w:numPr>
      </w:pPr>
      <w:r>
        <w:t xml:space="preserve">Establish 24/7 monitoring capabilities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Access Control Enhancement</w:t>
      </w:r>
    </w:p>
    <w:p>
      <w:pPr>
        <w:pStyle w:val="Compact"/>
        <w:numPr>
          <w:ilvl w:val="1"/>
          <w:numId w:val="1017"/>
        </w:numPr>
      </w:pPr>
      <w:r>
        <w:t xml:space="preserve">Multi-factor authentication for all systems</w:t>
      </w:r>
    </w:p>
    <w:p>
      <w:pPr>
        <w:pStyle w:val="Compact"/>
        <w:numPr>
          <w:ilvl w:val="1"/>
          <w:numId w:val="1017"/>
        </w:numPr>
      </w:pPr>
      <w:r>
        <w:t xml:space="preserve">User privilege audit and remediation</w:t>
      </w:r>
    </w:p>
    <w:p>
      <w:pPr>
        <w:pStyle w:val="Compact"/>
        <w:numPr>
          <w:ilvl w:val="1"/>
          <w:numId w:val="1017"/>
        </w:numPr>
      </w:pPr>
      <w:r>
        <w:t xml:space="preserve">Network segmentation implementation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Compliance Framework</w:t>
      </w:r>
    </w:p>
    <w:p>
      <w:pPr>
        <w:pStyle w:val="Compact"/>
        <w:numPr>
          <w:ilvl w:val="1"/>
          <w:numId w:val="1018"/>
        </w:numPr>
      </w:pPr>
      <w:r>
        <w:t xml:space="preserve">Begin ISO 27001 certification process</w:t>
      </w:r>
    </w:p>
    <w:p>
      <w:pPr>
        <w:pStyle w:val="Compact"/>
        <w:numPr>
          <w:ilvl w:val="1"/>
          <w:numId w:val="1018"/>
        </w:numPr>
      </w:pPr>
      <w:r>
        <w:t xml:space="preserve">Implement GDPR compliance program</w:t>
      </w:r>
    </w:p>
    <w:p>
      <w:pPr>
        <w:pStyle w:val="Compact"/>
        <w:numPr>
          <w:ilvl w:val="1"/>
          <w:numId w:val="1018"/>
        </w:numPr>
      </w:pPr>
      <w:r>
        <w:t xml:space="preserve">Establish data governance policies</w:t>
      </w:r>
    </w:p>
    <w:p>
      <w:pPr>
        <w:pStyle w:val="FirstParagraph"/>
      </w:pPr>
      <w:r>
        <w:rPr>
          <w:b/>
          <w:bCs/>
        </w:rPr>
        <w:t xml:space="preserve">Success Metrics:</w:t>
      </w:r>
    </w:p>
    <w:p>
      <w:pPr>
        <w:pStyle w:val="Compact"/>
        <w:numPr>
          <w:ilvl w:val="0"/>
          <w:numId w:val="1019"/>
        </w:numPr>
      </w:pPr>
      <w:r>
        <w:t xml:space="preserve">70% reduction in critical vulnerabilities</w:t>
      </w:r>
    </w:p>
    <w:p>
      <w:pPr>
        <w:pStyle w:val="Compact"/>
        <w:numPr>
          <w:ilvl w:val="0"/>
          <w:numId w:val="1019"/>
        </w:numPr>
      </w:pPr>
      <w:r>
        <w:t xml:space="preserve">&lt;24 hours threat detection time</w:t>
      </w:r>
    </w:p>
    <w:p>
      <w:pPr>
        <w:pStyle w:val="Compact"/>
        <w:numPr>
          <w:ilvl w:val="0"/>
          <w:numId w:val="1019"/>
        </w:numPr>
      </w:pPr>
      <w:r>
        <w:t xml:space="preserve">100% MFA coverage for critical systems</w:t>
      </w:r>
    </w:p>
    <w:bookmarkEnd w:id="28"/>
    <w:bookmarkStart w:id="29" w:name="X19fa7b2b13f06cebe2012c549655ba05d6c00d1"/>
    <w:p>
      <w:pPr>
        <w:pStyle w:val="Heading2"/>
      </w:pPr>
      <w:r>
        <w:t xml:space="preserve">Phase 3: Strategic Transformation (2-12 Months)</w:t>
      </w:r>
    </w:p>
    <w:p>
      <w:pPr>
        <w:pStyle w:val="FirstParagraph"/>
      </w:pPr>
      <w:r>
        <w:rPr>
          <w:b/>
          <w:bCs/>
        </w:rPr>
        <w:t xml:space="preserve">Budget Required: $500,000</w:t>
      </w:r>
    </w:p>
    <w:p>
      <w:pPr>
        <w:pStyle w:val="BodyText"/>
      </w:pPr>
      <w:r>
        <w:rPr>
          <w:b/>
          <w:bCs/>
        </w:rPr>
        <w:t xml:space="preserve">Long-term Investments: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Organizational Structure</w:t>
      </w:r>
    </w:p>
    <w:p>
      <w:pPr>
        <w:pStyle w:val="Compact"/>
        <w:numPr>
          <w:ilvl w:val="1"/>
          <w:numId w:val="1021"/>
        </w:numPr>
      </w:pPr>
      <w:r>
        <w:t xml:space="preserve">Hire Chief Information Security Officer (CISO)</w:t>
      </w:r>
    </w:p>
    <w:p>
      <w:pPr>
        <w:pStyle w:val="Compact"/>
        <w:numPr>
          <w:ilvl w:val="1"/>
          <w:numId w:val="1021"/>
        </w:numPr>
      </w:pPr>
      <w:r>
        <w:t xml:space="preserve">Build Security Operations Center (SOC) team</w:t>
      </w:r>
    </w:p>
    <w:p>
      <w:pPr>
        <w:pStyle w:val="Compact"/>
        <w:numPr>
          <w:ilvl w:val="1"/>
          <w:numId w:val="1021"/>
        </w:numPr>
      </w:pPr>
      <w:r>
        <w:t xml:space="preserve">Establish risk management processes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Technology Modernization</w:t>
      </w:r>
    </w:p>
    <w:p>
      <w:pPr>
        <w:pStyle w:val="Compact"/>
        <w:numPr>
          <w:ilvl w:val="1"/>
          <w:numId w:val="1022"/>
        </w:numPr>
      </w:pPr>
      <w:r>
        <w:t xml:space="preserve">Deploy SIEM/SOAR platform</w:t>
      </w:r>
    </w:p>
    <w:p>
      <w:pPr>
        <w:pStyle w:val="Compact"/>
        <w:numPr>
          <w:ilvl w:val="1"/>
          <w:numId w:val="1022"/>
        </w:numPr>
      </w:pPr>
      <w:r>
        <w:t xml:space="preserve">Implement automated incident response</w:t>
      </w:r>
    </w:p>
    <w:p>
      <w:pPr>
        <w:pStyle w:val="Compact"/>
        <w:numPr>
          <w:ilvl w:val="1"/>
          <w:numId w:val="1022"/>
        </w:numPr>
      </w:pPr>
      <w:r>
        <w:t xml:space="preserve">Enhance backup and recovery capabilities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Compliance &amp; Certification</w:t>
      </w:r>
    </w:p>
    <w:p>
      <w:pPr>
        <w:pStyle w:val="Compact"/>
        <w:numPr>
          <w:ilvl w:val="1"/>
          <w:numId w:val="1023"/>
        </w:numPr>
      </w:pPr>
      <w:r>
        <w:t xml:space="preserve">Achieve SOC 2 Type II certification</w:t>
      </w:r>
    </w:p>
    <w:p>
      <w:pPr>
        <w:pStyle w:val="Compact"/>
        <w:numPr>
          <w:ilvl w:val="1"/>
          <w:numId w:val="1023"/>
        </w:numPr>
      </w:pPr>
      <w:r>
        <w:t xml:space="preserve">Complete ISO 27001 implementation</w:t>
      </w:r>
    </w:p>
    <w:p>
      <w:pPr>
        <w:pStyle w:val="Compact"/>
        <w:numPr>
          <w:ilvl w:val="1"/>
          <w:numId w:val="1023"/>
        </w:numPr>
      </w:pPr>
      <w:r>
        <w:t xml:space="preserve">Establish vendor risk management program</w:t>
      </w:r>
    </w:p>
    <w:p>
      <w:pPr>
        <w:pStyle w:val="FirstParagraph"/>
      </w:pPr>
      <w:r>
        <w:rPr>
          <w:b/>
          <w:bCs/>
        </w:rPr>
        <w:t xml:space="preserve">Expected ROI:</w:t>
      </w:r>
    </w:p>
    <w:p>
      <w:pPr>
        <w:pStyle w:val="Compact"/>
        <w:numPr>
          <w:ilvl w:val="0"/>
          <w:numId w:val="1024"/>
        </w:numPr>
      </w:pPr>
      <w:r>
        <w:t xml:space="preserve">$2.4M annual savings from incident prevention</w:t>
      </w:r>
    </w:p>
    <w:p>
      <w:pPr>
        <w:pStyle w:val="Compact"/>
        <w:numPr>
          <w:ilvl w:val="0"/>
          <w:numId w:val="1024"/>
        </w:numPr>
      </w:pPr>
      <w:r>
        <w:t xml:space="preserve">30% reduction in insurance premiums</w:t>
      </w:r>
    </w:p>
    <w:p>
      <w:pPr>
        <w:pStyle w:val="Compact"/>
        <w:numPr>
          <w:ilvl w:val="0"/>
          <w:numId w:val="1024"/>
        </w:numPr>
      </w:pPr>
      <w:r>
        <w:t xml:space="preserve">Enhanced customer trust and competitive positioning</w:t>
      </w:r>
    </w:p>
    <w:bookmarkEnd w:id="29"/>
    <w:bookmarkEnd w:id="30"/>
    <w:bookmarkStart w:id="34" w:name="financial-justification"/>
    <w:p>
      <w:pPr>
        <w:pStyle w:val="Heading1"/>
      </w:pPr>
      <w:r>
        <w:t xml:space="preserve">Financial Justification</w:t>
      </w:r>
    </w:p>
    <w:bookmarkStart w:id="31" w:name="investment-vs-risk-analysis"/>
    <w:p>
      <w:pPr>
        <w:pStyle w:val="Heading2"/>
      </w:pPr>
      <w:r>
        <w:t xml:space="preserve">Investment vs. Risk Analysis</w:t>
      </w:r>
    </w:p>
    <w:p>
      <w:pPr>
        <w:pStyle w:val="FirstParagraph"/>
      </w:pPr>
      <w:r>
        <w:rPr>
          <w:b/>
          <w:bCs/>
        </w:rPr>
        <w:t xml:space="preserve">Total Investment Required: $950,000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Investment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$2,400,000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253%</w:t>
            </w:r>
          </w:p>
        </w:tc>
      </w:tr>
    </w:tbl>
    <w:bookmarkEnd w:id="31"/>
    <w:bookmarkStart w:id="32" w:name="cost-of-inaction"/>
    <w:p>
      <w:pPr>
        <w:pStyle w:val="Heading2"/>
      </w:pPr>
      <w:r>
        <w:t xml:space="preserve">Cost of Inaction</w:t>
      </w:r>
    </w:p>
    <w:p>
      <w:pPr>
        <w:pStyle w:val="FirstParagraph"/>
      </w:pPr>
      <w:r>
        <w:rPr>
          <w:b/>
          <w:bCs/>
        </w:rPr>
        <w:t xml:space="preserve">Potential Losses Without Investment:</w:t>
      </w:r>
    </w:p>
    <w:p>
      <w:pPr>
        <w:pStyle w:val="SourceCode"/>
      </w:pPr>
      <w:r>
        <w:rPr>
          <w:rStyle w:val="VerbatimChar"/>
        </w:rPr>
        <w:t xml:space="preserve">Direct Incident Costs:</w:t>
      </w:r>
      <w:r>
        <w:br/>
      </w:r>
      <w:r>
        <w:rPr>
          <w:rStyle w:val="VerbatimChar"/>
        </w:rPr>
        <w:t xml:space="preserve">├── Investigation &amp; Remediation: $800,000</w:t>
      </w:r>
      <w:r>
        <w:br/>
      </w:r>
      <w:r>
        <w:rPr>
          <w:rStyle w:val="VerbatimChar"/>
        </w:rPr>
        <w:t xml:space="preserve">├── Legal &amp; Regulatory: $2,000,000 - $20,000,000</w:t>
      </w:r>
      <w:r>
        <w:br/>
      </w:r>
      <w:r>
        <w:rPr>
          <w:rStyle w:val="VerbatimChar"/>
        </w:rPr>
        <w:t xml:space="preserve">├── Customer Notification: $200,000</w:t>
      </w:r>
      <w:r>
        <w:br/>
      </w:r>
      <w:r>
        <w:rPr>
          <w:rStyle w:val="VerbatimChar"/>
        </w:rPr>
        <w:t xml:space="preserve">└── Credit Monitoring: $300,000</w:t>
      </w:r>
      <w:r>
        <w:br/>
      </w:r>
      <w:r>
        <w:br/>
      </w:r>
      <w:r>
        <w:rPr>
          <w:rStyle w:val="VerbatimChar"/>
        </w:rPr>
        <w:t xml:space="preserve">Indirect Business Impact:</w:t>
      </w:r>
      <w:r>
        <w:br/>
      </w:r>
      <w:r>
        <w:rPr>
          <w:rStyle w:val="VerbatimChar"/>
        </w:rPr>
        <w:t xml:space="preserve">├── Customer Loss (30%): $5,000,000</w:t>
      </w:r>
      <w:r>
        <w:br/>
      </w:r>
      <w:r>
        <w:rPr>
          <w:rStyle w:val="VerbatimChar"/>
        </w:rPr>
        <w:t xml:space="preserve">├── Stock Price Impact: $10,000,000</w:t>
      </w:r>
      <w:r>
        <w:br/>
      </w:r>
      <w:r>
        <w:rPr>
          <w:rStyle w:val="VerbatimChar"/>
        </w:rPr>
        <w:t xml:space="preserve">├── Insurance Premium Increase: $500,000/year</w:t>
      </w:r>
      <w:r>
        <w:br/>
      </w:r>
      <w:r>
        <w:rPr>
          <w:rStyle w:val="VerbatimChar"/>
        </w:rPr>
        <w:t xml:space="preserve">└── Reputation Recovery: $2,000,000</w:t>
      </w:r>
      <w:r>
        <w:br/>
      </w:r>
      <w:r>
        <w:br/>
      </w:r>
      <w:r>
        <w:rPr>
          <w:rStyle w:val="VerbatimChar"/>
        </w:rPr>
        <w:t xml:space="preserve">Total Potential Loss: $20,800,000 - $38,800,000</w:t>
      </w:r>
    </w:p>
    <w:bookmarkEnd w:id="32"/>
    <w:bookmarkStart w:id="33" w:name="industry-benchmarks"/>
    <w:p>
      <w:pPr>
        <w:pStyle w:val="Heading2"/>
      </w:pPr>
      <w:r>
        <w:t xml:space="preserve">Industry Benchmarks</w:t>
      </w:r>
    </w:p>
    <w:p>
      <w:pPr>
        <w:pStyle w:val="FirstParagraph"/>
      </w:pPr>
      <w:r>
        <w:rPr>
          <w:b/>
          <w:bCs/>
        </w:rPr>
        <w:t xml:space="preserve">Cybersecurity Investment Standards:</w:t>
      </w:r>
    </w:p>
    <w:p>
      <w:pPr>
        <w:pStyle w:val="Compact"/>
        <w:numPr>
          <w:ilvl w:val="0"/>
          <w:numId w:val="1025"/>
        </w:numPr>
      </w:pPr>
      <w:r>
        <w:t xml:space="preserve">Industry average: 3.5% of IT budget</w:t>
      </w:r>
    </w:p>
    <w:p>
      <w:pPr>
        <w:pStyle w:val="Compact"/>
        <w:numPr>
          <w:ilvl w:val="0"/>
          <w:numId w:val="1025"/>
        </w:numPr>
      </w:pPr>
      <w:r>
        <w:t xml:space="preserve">Our current spending: 1.2% of IT budget</w:t>
      </w:r>
    </w:p>
    <w:p>
      <w:pPr>
        <w:pStyle w:val="Compact"/>
        <w:numPr>
          <w:ilvl w:val="0"/>
          <w:numId w:val="1025"/>
        </w:numPr>
      </w:pPr>
      <w:r>
        <w:t xml:space="preserve">Recommended level: 4.5% of IT budget</w:t>
      </w:r>
    </w:p>
    <w:p>
      <w:pPr>
        <w:pStyle w:val="FirstParagraph"/>
      </w:pPr>
      <w:r>
        <w:rPr>
          <w:b/>
          <w:bCs/>
        </w:rPr>
        <w:t xml:space="preserve">Competitive Advantages:</w:t>
      </w:r>
    </w:p>
    <w:p>
      <w:pPr>
        <w:pStyle w:val="Compact"/>
        <w:numPr>
          <w:ilvl w:val="0"/>
          <w:numId w:val="1026"/>
        </w:numPr>
      </w:pPr>
      <w:r>
        <w:t xml:space="preserve">Security certification as differentiator</w:t>
      </w:r>
    </w:p>
    <w:p>
      <w:pPr>
        <w:pStyle w:val="Compact"/>
        <w:numPr>
          <w:ilvl w:val="0"/>
          <w:numId w:val="1026"/>
        </w:numPr>
      </w:pPr>
      <w:r>
        <w:t xml:space="preserve">Access to enterprise client base</w:t>
      </w:r>
    </w:p>
    <w:p>
      <w:pPr>
        <w:pStyle w:val="Compact"/>
        <w:numPr>
          <w:ilvl w:val="0"/>
          <w:numId w:val="1026"/>
        </w:numPr>
      </w:pPr>
      <w:r>
        <w:t xml:space="preserve">Reduced insurance requirements</w:t>
      </w:r>
    </w:p>
    <w:p>
      <w:pPr>
        <w:pStyle w:val="Compact"/>
        <w:numPr>
          <w:ilvl w:val="0"/>
          <w:numId w:val="1026"/>
        </w:numPr>
      </w:pPr>
      <w:r>
        <w:t xml:space="preserve">Enhanced investor confidence</w:t>
      </w:r>
    </w:p>
    <w:bookmarkEnd w:id="33"/>
    <w:bookmarkEnd w:id="34"/>
    <w:bookmarkStart w:id="38" w:name="governance-and-oversight"/>
    <w:p>
      <w:pPr>
        <w:pStyle w:val="Heading1"/>
      </w:pPr>
      <w:r>
        <w:t xml:space="preserve">Governance and Oversight</w:t>
      </w:r>
    </w:p>
    <w:bookmarkStart w:id="35" w:name="recommended-organizational-structure"/>
    <w:p>
      <w:pPr>
        <w:pStyle w:val="Heading2"/>
      </w:pPr>
      <w:r>
        <w:t xml:space="preserve">Recommended Organizational Structure</w:t>
      </w:r>
    </w:p>
    <w:p>
      <w:pPr>
        <w:pStyle w:val="SourceCode"/>
      </w:pPr>
      <w:r>
        <w:rPr>
          <w:rStyle w:val="VerbatimChar"/>
        </w:rPr>
        <w:t xml:space="preserve">Board of Directors</w:t>
      </w:r>
      <w:r>
        <w:br/>
      </w:r>
      <w:r>
        <w:rPr>
          <w:rStyle w:val="VerbatimChar"/>
        </w:rPr>
        <w:t xml:space="preserve">├── Risk &amp; Audit Committee</w:t>
      </w:r>
      <w:r>
        <w:br/>
      </w:r>
      <w:r>
        <w:rPr>
          <w:rStyle w:val="VerbatimChar"/>
        </w:rPr>
        <w:t xml:space="preserve">│   └── Cybersecurity Subcommittee (NEW)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Executive Leadership</w:t>
      </w:r>
      <w:r>
        <w:br/>
      </w:r>
      <w:r>
        <w:rPr>
          <w:rStyle w:val="VerbatimChar"/>
        </w:rPr>
        <w:t xml:space="preserve">├── CEO (Overall Accountability)</w:t>
      </w:r>
      <w:r>
        <w:br/>
      </w:r>
      <w:r>
        <w:rPr>
          <w:rStyle w:val="VerbatimChar"/>
        </w:rPr>
        <w:t xml:space="preserve">├── CISO (Operational Responsibility) - NEW ROLE</w:t>
      </w:r>
      <w:r>
        <w:br/>
      </w:r>
      <w:r>
        <w:rPr>
          <w:rStyle w:val="VerbatimChar"/>
        </w:rPr>
        <w:t xml:space="preserve">│   ├── SOC Manager</w:t>
      </w:r>
      <w:r>
        <w:br/>
      </w:r>
      <w:r>
        <w:rPr>
          <w:rStyle w:val="VerbatimChar"/>
        </w:rPr>
        <w:t xml:space="preserve">│   ├── Compliance Manager</w:t>
      </w:r>
      <w:r>
        <w:br/>
      </w:r>
      <w:r>
        <w:rPr>
          <w:rStyle w:val="VerbatimChar"/>
        </w:rPr>
        <w:t xml:space="preserve">│   └── Incident Response Manager</w:t>
      </w:r>
      <w:r>
        <w:br/>
      </w:r>
      <w:r>
        <w:rPr>
          <w:rStyle w:val="VerbatimChar"/>
        </w:rPr>
        <w:t xml:space="preserve">└── CTO (Technical Support)</w:t>
      </w:r>
    </w:p>
    <w:bookmarkEnd w:id="35"/>
    <w:bookmarkStart w:id="36" w:name="key-performance-indicators"/>
    <w:p>
      <w:pPr>
        <w:pStyle w:val="Heading2"/>
      </w:pPr>
      <w:r>
        <w:t xml:space="preserve">Key Performance Indicators</w:t>
      </w:r>
    </w:p>
    <w:p>
      <w:pPr>
        <w:pStyle w:val="FirstParagraph"/>
      </w:pPr>
      <w:r>
        <w:rPr>
          <w:b/>
          <w:bCs/>
        </w:rPr>
        <w:t xml:space="preserve">Operational Metrics:</w:t>
      </w:r>
    </w:p>
    <w:p>
      <w:pPr>
        <w:pStyle w:val="Compact"/>
        <w:numPr>
          <w:ilvl w:val="0"/>
          <w:numId w:val="1027"/>
        </w:numPr>
      </w:pPr>
      <w:r>
        <w:t xml:space="preserve">Threat detection time: &lt;1 hour (target)</w:t>
      </w:r>
    </w:p>
    <w:p>
      <w:pPr>
        <w:pStyle w:val="Compact"/>
        <w:numPr>
          <w:ilvl w:val="0"/>
          <w:numId w:val="1027"/>
        </w:numPr>
      </w:pPr>
      <w:r>
        <w:t xml:space="preserve">Incident response time: &lt;4 hours</w:t>
      </w:r>
    </w:p>
    <w:p>
      <w:pPr>
        <w:pStyle w:val="Compact"/>
        <w:numPr>
          <w:ilvl w:val="0"/>
          <w:numId w:val="1027"/>
        </w:numPr>
      </w:pPr>
      <w:r>
        <w:t xml:space="preserve">Successful phishing rate: &lt;2%</w:t>
      </w:r>
    </w:p>
    <w:p>
      <w:pPr>
        <w:pStyle w:val="Compact"/>
        <w:numPr>
          <w:ilvl w:val="0"/>
          <w:numId w:val="1027"/>
        </w:numPr>
      </w:pPr>
      <w:r>
        <w:t xml:space="preserve">Critical system uptime: &gt;99.9%</w:t>
      </w:r>
    </w:p>
    <w:p>
      <w:pPr>
        <w:pStyle w:val="FirstParagraph"/>
      </w:pPr>
      <w:r>
        <w:rPr>
          <w:b/>
          <w:bCs/>
        </w:rPr>
        <w:t xml:space="preserve">Business Metrics:</w:t>
      </w:r>
    </w:p>
    <w:p>
      <w:pPr>
        <w:pStyle w:val="Compact"/>
        <w:numPr>
          <w:ilvl w:val="0"/>
          <w:numId w:val="1028"/>
        </w:numPr>
      </w:pPr>
      <w:r>
        <w:t xml:space="preserve">Security incidents: 80% reduction</w:t>
      </w:r>
    </w:p>
    <w:p>
      <w:pPr>
        <w:pStyle w:val="Compact"/>
        <w:numPr>
          <w:ilvl w:val="0"/>
          <w:numId w:val="1028"/>
        </w:numPr>
      </w:pPr>
      <w:r>
        <w:t xml:space="preserve">Incident costs: 90% reduction</w:t>
      </w:r>
    </w:p>
    <w:p>
      <w:pPr>
        <w:pStyle w:val="Compact"/>
        <w:numPr>
          <w:ilvl w:val="0"/>
          <w:numId w:val="1028"/>
        </w:numPr>
      </w:pPr>
      <w:r>
        <w:t xml:space="preserve">System downtime: 95% reduction</w:t>
      </w:r>
    </w:p>
    <w:p>
      <w:pPr>
        <w:pStyle w:val="Compact"/>
        <w:numPr>
          <w:ilvl w:val="0"/>
          <w:numId w:val="1028"/>
        </w:numPr>
      </w:pPr>
      <w:r>
        <w:t xml:space="preserve">Customer satisfaction: &gt;95% maintained</w:t>
      </w:r>
    </w:p>
    <w:bookmarkEnd w:id="36"/>
    <w:bookmarkStart w:id="37" w:name="reporting-framework"/>
    <w:p>
      <w:pPr>
        <w:pStyle w:val="Heading2"/>
      </w:pPr>
      <w:r>
        <w:t xml:space="preserve">Reporting Framework</w:t>
      </w:r>
    </w:p>
    <w:p>
      <w:pPr>
        <w:pStyle w:val="FirstParagraph"/>
      </w:pPr>
      <w:r>
        <w:rPr>
          <w:b/>
          <w:bCs/>
        </w:rPr>
        <w:t xml:space="preserve">Board-Level Reporting:</w:t>
      </w:r>
    </w:p>
    <w:p>
      <w:pPr>
        <w:pStyle w:val="Compact"/>
        <w:numPr>
          <w:ilvl w:val="0"/>
          <w:numId w:val="1029"/>
        </w:numPr>
      </w:pPr>
      <w:r>
        <w:t xml:space="preserve">Monthly cybersecurity dashboard</w:t>
      </w:r>
    </w:p>
    <w:p>
      <w:pPr>
        <w:pStyle w:val="Compact"/>
        <w:numPr>
          <w:ilvl w:val="0"/>
          <w:numId w:val="1029"/>
        </w:numPr>
      </w:pPr>
      <w:r>
        <w:t xml:space="preserve">Quarterly risk assessments</w:t>
      </w:r>
    </w:p>
    <w:p>
      <w:pPr>
        <w:pStyle w:val="Compact"/>
        <w:numPr>
          <w:ilvl w:val="0"/>
          <w:numId w:val="1029"/>
        </w:numPr>
      </w:pPr>
      <w:r>
        <w:t xml:space="preserve">Annual security strategy review</w:t>
      </w:r>
    </w:p>
    <w:p>
      <w:pPr>
        <w:pStyle w:val="Compact"/>
        <w:numPr>
          <w:ilvl w:val="0"/>
          <w:numId w:val="1029"/>
        </w:numPr>
      </w:pPr>
      <w:r>
        <w:t xml:space="preserve">Immediate incident notifications</w:t>
      </w:r>
    </w:p>
    <w:bookmarkEnd w:id="37"/>
    <w:bookmarkEnd w:id="38"/>
    <w:bookmarkStart w:id="41" w:name="decision-points-for-board-action"/>
    <w:p>
      <w:pPr>
        <w:pStyle w:val="Heading1"/>
      </w:pPr>
      <w:r>
        <w:t xml:space="preserve">Decision Points for Board Action</w:t>
      </w:r>
    </w:p>
    <w:bookmarkStart w:id="39" w:name="X2b22cef18ce138191198f49c996bd24576d7cdb"/>
    <w:p>
      <w:pPr>
        <w:pStyle w:val="Heading2"/>
      </w:pPr>
      <w:r>
        <w:t xml:space="preserve">Immediate Decisions (Required within 24 hours)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Emergency Budget Approval: $150,000</w:t>
      </w:r>
    </w:p>
    <w:p>
      <w:pPr>
        <w:pStyle w:val="Compact"/>
        <w:numPr>
          <w:ilvl w:val="1"/>
          <w:numId w:val="1031"/>
        </w:numPr>
      </w:pPr>
      <w:r>
        <w:t xml:space="preserve">Critical vulnerability remediation</w:t>
      </w:r>
    </w:p>
    <w:p>
      <w:pPr>
        <w:pStyle w:val="Compact"/>
        <w:numPr>
          <w:ilvl w:val="1"/>
          <w:numId w:val="1031"/>
        </w:numPr>
      </w:pPr>
      <w:r>
        <w:t xml:space="preserve">External security expert engagement</w:t>
      </w:r>
    </w:p>
    <w:p>
      <w:pPr>
        <w:pStyle w:val="Compact"/>
        <w:numPr>
          <w:ilvl w:val="1"/>
          <w:numId w:val="1031"/>
        </w:numPr>
      </w:pPr>
      <w:r>
        <w:t xml:space="preserve">Legal and regulatory support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Crisis Communication Authorization</w:t>
      </w:r>
    </w:p>
    <w:p>
      <w:pPr>
        <w:pStyle w:val="Compact"/>
        <w:numPr>
          <w:ilvl w:val="1"/>
          <w:numId w:val="1032"/>
        </w:numPr>
      </w:pPr>
      <w:r>
        <w:t xml:space="preserve">Designate official spokesperson</w:t>
      </w:r>
    </w:p>
    <w:p>
      <w:pPr>
        <w:pStyle w:val="Compact"/>
        <w:numPr>
          <w:ilvl w:val="1"/>
          <w:numId w:val="1032"/>
        </w:numPr>
      </w:pPr>
      <w:r>
        <w:t xml:space="preserve">Approve customer notification process</w:t>
      </w:r>
    </w:p>
    <w:p>
      <w:pPr>
        <w:pStyle w:val="Compact"/>
        <w:numPr>
          <w:ilvl w:val="1"/>
          <w:numId w:val="1032"/>
        </w:numPr>
      </w:pPr>
      <w:r>
        <w:t xml:space="preserve">Authorize regulatory filings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Executive Crisis Team Activation</w:t>
      </w:r>
    </w:p>
    <w:p>
      <w:pPr>
        <w:pStyle w:val="Compact"/>
        <w:numPr>
          <w:ilvl w:val="1"/>
          <w:numId w:val="1033"/>
        </w:numPr>
      </w:pPr>
      <w:r>
        <w:t xml:space="preserve">Daily situation briefings</w:t>
      </w:r>
    </w:p>
    <w:p>
      <w:pPr>
        <w:pStyle w:val="Compact"/>
        <w:numPr>
          <w:ilvl w:val="1"/>
          <w:numId w:val="1033"/>
        </w:numPr>
      </w:pPr>
      <w:r>
        <w:t xml:space="preserve">Stakeholder communication coordination</w:t>
      </w:r>
    </w:p>
    <w:p>
      <w:pPr>
        <w:pStyle w:val="Compact"/>
        <w:numPr>
          <w:ilvl w:val="1"/>
          <w:numId w:val="1033"/>
        </w:numPr>
      </w:pPr>
      <w:r>
        <w:t xml:space="preserve">Resource allocation authority</w:t>
      </w:r>
    </w:p>
    <w:bookmarkEnd w:id="39"/>
    <w:bookmarkStart w:id="40" w:name="Xb3517d0c855e0d7bc216550fbe6f934e34b2b6a"/>
    <w:p>
      <w:pPr>
        <w:pStyle w:val="Heading2"/>
      </w:pPr>
      <w:r>
        <w:t xml:space="preserve">Strategic Decisions (Required within 2 weeks)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Comprehensive Investment Program: $950,000</w:t>
      </w:r>
    </w:p>
    <w:p>
      <w:pPr>
        <w:pStyle w:val="Compact"/>
        <w:numPr>
          <w:ilvl w:val="1"/>
          <w:numId w:val="1035"/>
        </w:numPr>
      </w:pPr>
      <w:r>
        <w:t xml:space="preserve">Three-phase implementation plan</w:t>
      </w:r>
    </w:p>
    <w:p>
      <w:pPr>
        <w:pStyle w:val="Compact"/>
        <w:numPr>
          <w:ilvl w:val="1"/>
          <w:numId w:val="1035"/>
        </w:numPr>
      </w:pPr>
      <w:r>
        <w:t xml:space="preserve">Expected ROI: 253% in first year</w:t>
      </w:r>
    </w:p>
    <w:p>
      <w:pPr>
        <w:pStyle w:val="Compact"/>
        <w:numPr>
          <w:ilvl w:val="1"/>
          <w:numId w:val="1035"/>
        </w:numPr>
      </w:pPr>
      <w:r>
        <w:t xml:space="preserve">Payback period: 5 months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CISO Position Creation</w:t>
      </w:r>
    </w:p>
    <w:p>
      <w:pPr>
        <w:pStyle w:val="Compact"/>
        <w:numPr>
          <w:ilvl w:val="1"/>
          <w:numId w:val="1036"/>
        </w:numPr>
      </w:pPr>
      <w:r>
        <w:t xml:space="preserve">C-suite level authority</w:t>
      </w:r>
    </w:p>
    <w:p>
      <w:pPr>
        <w:pStyle w:val="Compact"/>
        <w:numPr>
          <w:ilvl w:val="1"/>
          <w:numId w:val="1036"/>
        </w:numPr>
      </w:pPr>
      <w:r>
        <w:t xml:space="preserve">Direct reporting to CEO and Board</w:t>
      </w:r>
    </w:p>
    <w:p>
      <w:pPr>
        <w:pStyle w:val="Compact"/>
        <w:numPr>
          <w:ilvl w:val="1"/>
          <w:numId w:val="1036"/>
        </w:numPr>
      </w:pPr>
      <w:r>
        <w:t xml:space="preserve">Budget:</w:t>
      </w:r>
      <w:r>
        <w:t xml:space="preserve"> </w:t>
      </w:r>
      <m:oMath>
        <m:r>
          <m:t>200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</m:oMath>
      <w:r>
        <w:t xml:space="preserve">300,000 annually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Board Governance Enhancement</w:t>
      </w:r>
    </w:p>
    <w:p>
      <w:pPr>
        <w:pStyle w:val="Compact"/>
        <w:numPr>
          <w:ilvl w:val="1"/>
          <w:numId w:val="1037"/>
        </w:numPr>
      </w:pPr>
      <w:r>
        <w:t xml:space="preserve">Cybersecurity subcommittee establishment</w:t>
      </w:r>
    </w:p>
    <w:p>
      <w:pPr>
        <w:pStyle w:val="Compact"/>
        <w:numPr>
          <w:ilvl w:val="1"/>
          <w:numId w:val="1037"/>
        </w:numPr>
      </w:pPr>
      <w:r>
        <w:t xml:space="preserve">Quarterly security reviews</w:t>
      </w:r>
    </w:p>
    <w:p>
      <w:pPr>
        <w:pStyle w:val="Compact"/>
        <w:numPr>
          <w:ilvl w:val="1"/>
          <w:numId w:val="1037"/>
        </w:numPr>
      </w:pPr>
      <w:r>
        <w:t xml:space="preserve">Annual third-party assessments</w:t>
      </w:r>
    </w:p>
    <w:bookmarkEnd w:id="40"/>
    <w:bookmarkEnd w:id="41"/>
    <w:bookmarkStart w:id="46" w:name="conclusion-and-next-steps"/>
    <w:p>
      <w:pPr>
        <w:pStyle w:val="Heading1"/>
      </w:pPr>
      <w:r>
        <w:t xml:space="preserve">Conclusion and Next Steps</w:t>
      </w:r>
    </w:p>
    <w:bookmarkStart w:id="42" w:name="critical-nature-of-current-situation"/>
    <w:p>
      <w:pPr>
        <w:pStyle w:val="Heading2"/>
      </w:pPr>
      <w:r>
        <w:t xml:space="preserve">Critical Nature of Current Situation</w:t>
      </w:r>
    </w:p>
    <w:p>
      <w:pPr>
        <w:pStyle w:val="FirstParagraph"/>
      </w:pPr>
      <w:r>
        <w:t xml:space="preserve">Our organization faces an</w:t>
      </w:r>
      <w:r>
        <w:t xml:space="preserve"> </w:t>
      </w:r>
      <w:r>
        <w:rPr>
          <w:b/>
          <w:bCs/>
        </w:rPr>
        <w:t xml:space="preserve">unacceptable level of cybersecurity risk</w:t>
      </w:r>
      <w:r>
        <w:t xml:space="preserve"> </w:t>
      </w:r>
      <w:r>
        <w:t xml:space="preserve">that threatens: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Financial stability</w:t>
      </w:r>
      <w:r>
        <w:t xml:space="preserve"> </w:t>
      </w:r>
      <w:r>
        <w:t xml:space="preserve">through potential fines up to €20M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Market position</w:t>
      </w:r>
      <w:r>
        <w:t xml:space="preserve"> </w:t>
      </w:r>
      <w:r>
        <w:t xml:space="preserve">through reputational damage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Operational continuity</w:t>
      </w:r>
      <w:r>
        <w:t xml:space="preserve"> </w:t>
      </w:r>
      <w:r>
        <w:t xml:space="preserve">through system vulnerabilities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Regulatory standing</w:t>
      </w:r>
      <w:r>
        <w:t xml:space="preserve"> </w:t>
      </w:r>
      <w:r>
        <w:t xml:space="preserve">through compliance failures</w:t>
      </w:r>
    </w:p>
    <w:bookmarkEnd w:id="42"/>
    <w:bookmarkStart w:id="43" w:name="strategic-opportunity"/>
    <w:p>
      <w:pPr>
        <w:pStyle w:val="Heading2"/>
      </w:pPr>
      <w:r>
        <w:t xml:space="preserve">Strategic Opportunity</w:t>
      </w:r>
    </w:p>
    <w:p>
      <w:pPr>
        <w:pStyle w:val="FirstParagraph"/>
      </w:pPr>
      <w:r>
        <w:t xml:space="preserve">Investment in cybersecurity creates significant business value: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253% ROI</w:t>
      </w:r>
      <w:r>
        <w:t xml:space="preserve"> </w:t>
      </w:r>
      <w:r>
        <w:t xml:space="preserve">in first year of implementation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Competitive advantage</w:t>
      </w:r>
      <w:r>
        <w:t xml:space="preserve"> </w:t>
      </w:r>
      <w:r>
        <w:t xml:space="preserve">through security certification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Market expansion</w:t>
      </w:r>
      <w:r>
        <w:t xml:space="preserve"> </w:t>
      </w:r>
      <w:r>
        <w:t xml:space="preserve">into security-conscious sectors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Risk mitigation</w:t>
      </w:r>
      <w:r>
        <w:t xml:space="preserve"> </w:t>
      </w:r>
      <w:r>
        <w:t xml:space="preserve">and operational excellence</w:t>
      </w:r>
    </w:p>
    <w:bookmarkEnd w:id="43"/>
    <w:bookmarkStart w:id="44" w:name="immediate-board-actions-required"/>
    <w:p>
      <w:pPr>
        <w:pStyle w:val="Heading2"/>
      </w:pPr>
      <w:r>
        <w:t xml:space="preserve">Immediate Board Actions Required</w:t>
      </w:r>
    </w:p>
    <w:p>
      <w:pPr>
        <w:pStyle w:val="FirstParagraph"/>
      </w:pPr>
      <w:r>
        <w:rPr>
          <w:b/>
          <w:bCs/>
        </w:rPr>
        <w:t xml:space="preserve">Today:</w:t>
      </w:r>
    </w:p>
    <w:p>
      <w:pPr>
        <w:pStyle w:val="Compact"/>
        <w:numPr>
          <w:ilvl w:val="0"/>
          <w:numId w:val="1040"/>
        </w:numPr>
      </w:pPr>
      <w:r>
        <w:t xml:space="preserve">Approve emergency response budget ($150,000)</w:t>
      </w:r>
    </w:p>
    <w:p>
      <w:pPr>
        <w:pStyle w:val="Compact"/>
        <w:numPr>
          <w:ilvl w:val="0"/>
          <w:numId w:val="1040"/>
        </w:numPr>
      </w:pPr>
      <w:r>
        <w:t xml:space="preserve">Authorize crisis management activation</w:t>
      </w:r>
    </w:p>
    <w:p>
      <w:pPr>
        <w:pStyle w:val="Compact"/>
        <w:numPr>
          <w:ilvl w:val="0"/>
          <w:numId w:val="1040"/>
        </w:numPr>
      </w:pPr>
      <w:r>
        <w:t xml:space="preserve">Designate executive point of contact</w:t>
      </w:r>
    </w:p>
    <w:p>
      <w:pPr>
        <w:pStyle w:val="FirstParagraph"/>
      </w:pPr>
      <w:r>
        <w:rPr>
          <w:b/>
          <w:bCs/>
        </w:rPr>
        <w:t xml:space="preserve">This Week:</w:t>
      </w:r>
    </w:p>
    <w:p>
      <w:pPr>
        <w:pStyle w:val="Compact"/>
        <w:numPr>
          <w:ilvl w:val="0"/>
          <w:numId w:val="1041"/>
        </w:numPr>
      </w:pPr>
      <w:r>
        <w:t xml:space="preserve">Approve comprehensive security program ($950,000)</w:t>
      </w:r>
    </w:p>
    <w:p>
      <w:pPr>
        <w:pStyle w:val="Compact"/>
        <w:numPr>
          <w:ilvl w:val="0"/>
          <w:numId w:val="1041"/>
        </w:numPr>
      </w:pPr>
      <w:r>
        <w:t xml:space="preserve">Initiate CISO recruitment process</w:t>
      </w:r>
    </w:p>
    <w:p>
      <w:pPr>
        <w:pStyle w:val="Compact"/>
        <w:numPr>
          <w:ilvl w:val="0"/>
          <w:numId w:val="1041"/>
        </w:numPr>
      </w:pPr>
      <w:r>
        <w:t xml:space="preserve">Establish cybersecurity board subcommittee</w:t>
      </w:r>
    </w:p>
    <w:p>
      <w:pPr>
        <w:pStyle w:val="FirstParagraph"/>
      </w:pPr>
      <w:r>
        <w:rPr>
          <w:b/>
          <w:bCs/>
        </w:rPr>
        <w:t xml:space="preserve">This Month:</w:t>
      </w:r>
    </w:p>
    <w:p>
      <w:pPr>
        <w:pStyle w:val="Compact"/>
        <w:numPr>
          <w:ilvl w:val="0"/>
          <w:numId w:val="1042"/>
        </w:numPr>
      </w:pPr>
      <w:r>
        <w:t xml:space="preserve">Complete Phase 1 implementation</w:t>
      </w:r>
    </w:p>
    <w:p>
      <w:pPr>
        <w:pStyle w:val="Compact"/>
        <w:numPr>
          <w:ilvl w:val="0"/>
          <w:numId w:val="1042"/>
        </w:numPr>
      </w:pPr>
      <w:r>
        <w:t xml:space="preserve">Begin Phase 2 execution</w:t>
      </w:r>
    </w:p>
    <w:p>
      <w:pPr>
        <w:pStyle w:val="Compact"/>
        <w:numPr>
          <w:ilvl w:val="0"/>
          <w:numId w:val="1042"/>
        </w:numPr>
      </w:pPr>
      <w:r>
        <w:t xml:space="preserve">Implement board-level security reporting</w:t>
      </w:r>
    </w:p>
    <w:bookmarkEnd w:id="44"/>
    <w:bookmarkStart w:id="45" w:name="final-recommendation"/>
    <w:p>
      <w:pPr>
        <w:pStyle w:val="Heading2"/>
      </w:pPr>
      <w:r>
        <w:t xml:space="preserve">Final Recommendation</w:t>
      </w:r>
    </w:p>
    <w:p>
      <w:pPr>
        <w:pStyle w:val="FirstParagraph"/>
      </w:pPr>
      <w:r>
        <w:rPr>
          <w:b/>
          <w:bCs/>
        </w:rPr>
        <w:t xml:space="preserve">Cybersecurity is no longer an IT issue—it is a strategic business imperative</w:t>
      </w:r>
      <w:r>
        <w:t xml:space="preserve"> </w:t>
      </w:r>
      <w:r>
        <w:t xml:space="preserve">requiring board-level attention and investment. The proposed program will not only eliminate current risks but establish sustainable competitive advantage in the digital economy.</w:t>
      </w:r>
    </w:p>
    <w:p>
      <w:pPr>
        <w:pStyle w:val="BodyText"/>
      </w:pPr>
      <w:r>
        <w:rPr>
          <w:b/>
          <w:bCs/>
        </w:rPr>
        <w:t xml:space="preserve">The time for action is now.</w:t>
      </w:r>
      <w:r>
        <w:t xml:space="preserve"> </w:t>
      </w:r>
      <w:r>
        <w:t xml:space="preserve">Every day of delay increases risk exposure and potential losses. We recommend immediate approval of the emergency response plan and comprehensive security investment program at the next board meeting.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This report is based on comprehensive security assessment using industry-leading methodologies and standards. All recommendations reflect current best practices and are supported by recent cybersecurity research and incident data.</w:t>
      </w:r>
    </w:p>
    <w:bookmarkEnd w:id="45"/>
    <w:bookmarkEnd w:id="46"/>
    <w:bookmarkStart w:id="51" w:name="appendices"/>
    <w:p>
      <w:pPr>
        <w:pStyle w:val="Heading1"/>
      </w:pPr>
      <w:r>
        <w:t xml:space="preserve">Appendices</w:t>
      </w:r>
    </w:p>
    <w:bookmarkStart w:id="47" w:name="X14fad406756bca1073a401cc8cf073b8069e3a9"/>
    <w:p>
      <w:pPr>
        <w:pStyle w:val="Heading2"/>
      </w:pPr>
      <w:r>
        <w:t xml:space="preserve">Appendix A: Regulatory Requirements Summary</w:t>
      </w:r>
    </w:p>
    <w:p>
      <w:pPr>
        <w:pStyle w:val="FirstParagraph"/>
      </w:pPr>
      <w:r>
        <w:rPr>
          <w:b/>
          <w:bCs/>
        </w:rPr>
        <w:t xml:space="preserve">GDPR Compliance Obligations:</w:t>
      </w:r>
    </w:p>
    <w:p>
      <w:pPr>
        <w:pStyle w:val="Compact"/>
        <w:numPr>
          <w:ilvl w:val="0"/>
          <w:numId w:val="1043"/>
        </w:numPr>
      </w:pPr>
      <w:r>
        <w:t xml:space="preserve">72-hour breach notification to supervisory authority</w:t>
      </w:r>
    </w:p>
    <w:p>
      <w:pPr>
        <w:pStyle w:val="Compact"/>
        <w:numPr>
          <w:ilvl w:val="0"/>
          <w:numId w:val="1043"/>
        </w:numPr>
      </w:pPr>
      <w:r>
        <w:t xml:space="preserve">30-day notification to affected individuals</w:t>
      </w:r>
    </w:p>
    <w:p>
      <w:pPr>
        <w:pStyle w:val="Compact"/>
        <w:numPr>
          <w:ilvl w:val="0"/>
          <w:numId w:val="1043"/>
        </w:numPr>
      </w:pPr>
      <w:r>
        <w:t xml:space="preserve">Data Protection Impact Assessments (DPIA)</w:t>
      </w:r>
    </w:p>
    <w:p>
      <w:pPr>
        <w:pStyle w:val="Compact"/>
        <w:numPr>
          <w:ilvl w:val="0"/>
          <w:numId w:val="1043"/>
        </w:numPr>
      </w:pPr>
      <w:r>
        <w:t xml:space="preserve">Privacy by Design implementation</w:t>
      </w:r>
    </w:p>
    <w:p>
      <w:pPr>
        <w:pStyle w:val="FirstParagraph"/>
      </w:pPr>
      <w:r>
        <w:rPr>
          <w:b/>
          <w:bCs/>
        </w:rPr>
        <w:t xml:space="preserve">Immediate Legal Actions Required:</w:t>
      </w:r>
    </w:p>
    <w:p>
      <w:pPr>
        <w:pStyle w:val="Compact"/>
        <w:numPr>
          <w:ilvl w:val="0"/>
          <w:numId w:val="1044"/>
        </w:numPr>
      </w:pPr>
      <w:r>
        <w:t xml:space="preserve">Engage GDPR-specialized legal counsel</w:t>
      </w:r>
    </w:p>
    <w:p>
      <w:pPr>
        <w:pStyle w:val="Compact"/>
        <w:numPr>
          <w:ilvl w:val="0"/>
          <w:numId w:val="1044"/>
        </w:numPr>
      </w:pPr>
      <w:r>
        <w:t xml:space="preserve">Prepare breach notification documentation</w:t>
      </w:r>
    </w:p>
    <w:p>
      <w:pPr>
        <w:pStyle w:val="Compact"/>
        <w:numPr>
          <w:ilvl w:val="0"/>
          <w:numId w:val="1044"/>
        </w:numPr>
      </w:pPr>
      <w:r>
        <w:t xml:space="preserve">Assess data subject notification requirements</w:t>
      </w:r>
    </w:p>
    <w:p>
      <w:pPr>
        <w:pStyle w:val="Compact"/>
        <w:numPr>
          <w:ilvl w:val="0"/>
          <w:numId w:val="1044"/>
        </w:numPr>
      </w:pPr>
      <w:r>
        <w:t xml:space="preserve">Review insurance coverage and claims process</w:t>
      </w:r>
    </w:p>
    <w:bookmarkEnd w:id="47"/>
    <w:bookmarkStart w:id="48" w:name="appendix-b-competitive-analysis"/>
    <w:p>
      <w:pPr>
        <w:pStyle w:val="Heading2"/>
      </w:pPr>
      <w:r>
        <w:t xml:space="preserve">Appendix B: Competitive Analysis</w:t>
      </w:r>
    </w:p>
    <w:p>
      <w:pPr>
        <w:pStyle w:val="FirstParagraph"/>
      </w:pPr>
      <w:r>
        <w:rPr>
          <w:b/>
          <w:bCs/>
        </w:rPr>
        <w:t xml:space="preserve">Security Certification Benefits:</w:t>
      </w:r>
    </w:p>
    <w:p>
      <w:pPr>
        <w:pStyle w:val="Compact"/>
        <w:numPr>
          <w:ilvl w:val="0"/>
          <w:numId w:val="1045"/>
        </w:numPr>
      </w:pPr>
      <w:r>
        <w:t xml:space="preserve">Access to enterprise client base requiring SOC 2</w:t>
      </w:r>
    </w:p>
    <w:p>
      <w:pPr>
        <w:pStyle w:val="Compact"/>
        <w:numPr>
          <w:ilvl w:val="0"/>
          <w:numId w:val="1045"/>
        </w:numPr>
      </w:pPr>
      <w:r>
        <w:t xml:space="preserve">Government contract eligibility</w:t>
      </w:r>
    </w:p>
    <w:p>
      <w:pPr>
        <w:pStyle w:val="Compact"/>
        <w:numPr>
          <w:ilvl w:val="0"/>
          <w:numId w:val="1045"/>
        </w:numPr>
      </w:pPr>
      <w:r>
        <w:t xml:space="preserve">Reduced cyber insurance premiums</w:t>
      </w:r>
    </w:p>
    <w:p>
      <w:pPr>
        <w:pStyle w:val="Compact"/>
        <w:numPr>
          <w:ilvl w:val="0"/>
          <w:numId w:val="1045"/>
        </w:numPr>
      </w:pPr>
      <w:r>
        <w:t xml:space="preserve">Enhanced investor confidence</w:t>
      </w:r>
    </w:p>
    <w:p>
      <w:pPr>
        <w:pStyle w:val="FirstParagraph"/>
      </w:pPr>
      <w:r>
        <w:rPr>
          <w:b/>
          <w:bCs/>
        </w:rPr>
        <w:t xml:space="preserve">Market Positioning:</w:t>
      </w:r>
    </w:p>
    <w:p>
      <w:pPr>
        <w:pStyle w:val="Compact"/>
        <w:numPr>
          <w:ilvl w:val="0"/>
          <w:numId w:val="1046"/>
        </w:numPr>
      </w:pPr>
      <w:r>
        <w:t xml:space="preserve">Differentiation through security leadership</w:t>
      </w:r>
    </w:p>
    <w:p>
      <w:pPr>
        <w:pStyle w:val="Compact"/>
        <w:numPr>
          <w:ilvl w:val="0"/>
          <w:numId w:val="1046"/>
        </w:numPr>
      </w:pPr>
      <w:r>
        <w:t xml:space="preserve">Premium pricing for secure services</w:t>
      </w:r>
    </w:p>
    <w:p>
      <w:pPr>
        <w:pStyle w:val="Compact"/>
        <w:numPr>
          <w:ilvl w:val="0"/>
          <w:numId w:val="1046"/>
        </w:numPr>
      </w:pPr>
      <w:r>
        <w:t xml:space="preserve">Partnership opportunities with security-conscious organizations</w:t>
      </w:r>
    </w:p>
    <w:bookmarkEnd w:id="48"/>
    <w:bookmarkStart w:id="49" w:name="appendix-c-implementation-timeline"/>
    <w:p>
      <w:pPr>
        <w:pStyle w:val="Heading2"/>
      </w:pPr>
      <w:r>
        <w:t xml:space="preserve">Appendix C: Implementation Timeline</w:t>
      </w:r>
    </w:p>
    <w:p>
      <w:pPr>
        <w:pStyle w:val="FirstParagraph"/>
      </w:pPr>
      <w:r>
        <w:rPr>
          <w:b/>
          <w:bCs/>
        </w:rPr>
        <w:t xml:space="preserve">Phase 1 (0-72 hours):</w:t>
      </w:r>
    </w:p>
    <w:p>
      <w:pPr>
        <w:pStyle w:val="Compact"/>
        <w:numPr>
          <w:ilvl w:val="0"/>
          <w:numId w:val="1047"/>
        </w:numPr>
      </w:pPr>
      <w:r>
        <w:t xml:space="preserve">Hour 0-4: Emergency response activation</w:t>
      </w:r>
    </w:p>
    <w:p>
      <w:pPr>
        <w:pStyle w:val="Compact"/>
        <w:numPr>
          <w:ilvl w:val="0"/>
          <w:numId w:val="1047"/>
        </w:numPr>
      </w:pPr>
      <w:r>
        <w:t xml:space="preserve">Hour 4-24: Vulnerability remediation</w:t>
      </w:r>
    </w:p>
    <w:p>
      <w:pPr>
        <w:pStyle w:val="Compact"/>
        <w:numPr>
          <w:ilvl w:val="0"/>
          <w:numId w:val="1047"/>
        </w:numPr>
      </w:pPr>
      <w:r>
        <w:t xml:space="preserve">Hour 24-72: Regulatory compliance and communication</w:t>
      </w:r>
    </w:p>
    <w:p>
      <w:pPr>
        <w:pStyle w:val="FirstParagraph"/>
      </w:pPr>
      <w:r>
        <w:rPr>
          <w:b/>
          <w:bCs/>
        </w:rPr>
        <w:t xml:space="preserve">Phase 2 (1-4 weeks):</w:t>
      </w:r>
    </w:p>
    <w:p>
      <w:pPr>
        <w:pStyle w:val="Compact"/>
        <w:numPr>
          <w:ilvl w:val="0"/>
          <w:numId w:val="1048"/>
        </w:numPr>
      </w:pPr>
      <w:r>
        <w:t xml:space="preserve">Week 1: Security infrastructure deployment</w:t>
      </w:r>
    </w:p>
    <w:p>
      <w:pPr>
        <w:pStyle w:val="Compact"/>
        <w:numPr>
          <w:ilvl w:val="0"/>
          <w:numId w:val="1048"/>
        </w:numPr>
      </w:pPr>
      <w:r>
        <w:t xml:space="preserve">Week 2-3: Access control implementation</w:t>
      </w:r>
    </w:p>
    <w:p>
      <w:pPr>
        <w:pStyle w:val="Compact"/>
        <w:numPr>
          <w:ilvl w:val="0"/>
          <w:numId w:val="1048"/>
        </w:numPr>
      </w:pPr>
      <w:r>
        <w:t xml:space="preserve">Week 4: Monitoring and compliance framework</w:t>
      </w:r>
    </w:p>
    <w:p>
      <w:pPr>
        <w:pStyle w:val="FirstParagraph"/>
      </w:pPr>
      <w:r>
        <w:rPr>
          <w:b/>
          <w:bCs/>
        </w:rPr>
        <w:t xml:space="preserve">Phase 3 (2-12 months):</w:t>
      </w:r>
    </w:p>
    <w:p>
      <w:pPr>
        <w:pStyle w:val="Compact"/>
        <w:numPr>
          <w:ilvl w:val="0"/>
          <w:numId w:val="1049"/>
        </w:numPr>
      </w:pPr>
      <w:r>
        <w:t xml:space="preserve">Month 1-2: CISO recruitment and team building</w:t>
      </w:r>
    </w:p>
    <w:p>
      <w:pPr>
        <w:pStyle w:val="Compact"/>
        <w:numPr>
          <w:ilvl w:val="0"/>
          <w:numId w:val="1049"/>
        </w:numPr>
      </w:pPr>
      <w:r>
        <w:t xml:space="preserve">Month 3-6: Technology platform implementation</w:t>
      </w:r>
    </w:p>
    <w:p>
      <w:pPr>
        <w:pStyle w:val="Compact"/>
        <w:numPr>
          <w:ilvl w:val="0"/>
          <w:numId w:val="1049"/>
        </w:numPr>
      </w:pPr>
      <w:r>
        <w:t xml:space="preserve">Month 6-12: Certification and continuous improvement</w:t>
      </w:r>
    </w:p>
    <w:bookmarkEnd w:id="49"/>
    <w:bookmarkStart w:id="50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For Emergency Response:</w:t>
      </w:r>
    </w:p>
    <w:p>
      <w:pPr>
        <w:pStyle w:val="Compact"/>
        <w:numPr>
          <w:ilvl w:val="0"/>
          <w:numId w:val="1050"/>
        </w:numPr>
      </w:pPr>
      <w:r>
        <w:t xml:space="preserve">Chief Information Security Officer: [contact details]</w:t>
      </w:r>
    </w:p>
    <w:p>
      <w:pPr>
        <w:pStyle w:val="Compact"/>
        <w:numPr>
          <w:ilvl w:val="0"/>
          <w:numId w:val="1050"/>
        </w:numPr>
      </w:pPr>
      <w:r>
        <w:t xml:space="preserve">External Security Consultant: [contact details]</w:t>
      </w:r>
    </w:p>
    <w:p>
      <w:pPr>
        <w:pStyle w:val="Compact"/>
        <w:numPr>
          <w:ilvl w:val="0"/>
          <w:numId w:val="1050"/>
        </w:numPr>
      </w:pPr>
      <w:r>
        <w:t xml:space="preserve">Legal Counsel: [contact details]</w:t>
      </w:r>
    </w:p>
    <w:p>
      <w:pPr>
        <w:pStyle w:val="FirstParagraph"/>
      </w:pPr>
      <w:r>
        <w:rPr>
          <w:b/>
          <w:bCs/>
        </w:rPr>
        <w:t xml:space="preserve">For Strategic Planning:</w:t>
      </w:r>
    </w:p>
    <w:p>
      <w:pPr>
        <w:pStyle w:val="Compact"/>
        <w:numPr>
          <w:ilvl w:val="0"/>
          <w:numId w:val="1051"/>
        </w:numPr>
      </w:pPr>
      <w:r>
        <w:t xml:space="preserve">Risk &amp; Audit Committee: [contact details]</w:t>
      </w:r>
    </w:p>
    <w:p>
      <w:pPr>
        <w:pStyle w:val="Compact"/>
        <w:numPr>
          <w:ilvl w:val="0"/>
          <w:numId w:val="1051"/>
        </w:numPr>
      </w:pPr>
      <w:r>
        <w:t xml:space="preserve">Board Secretary: [contact details]</w:t>
      </w:r>
    </w:p>
    <w:p>
      <w:pPr>
        <w:pStyle w:val="Compact"/>
        <w:numPr>
          <w:ilvl w:val="0"/>
          <w:numId w:val="1051"/>
        </w:numPr>
      </w:pPr>
      <w:r>
        <w:t xml:space="preserve">Executive Assistant: [contact details]</w:t>
      </w:r>
    </w:p>
    <w:bookmarkEnd w:id="50"/>
    <w:bookmarkEnd w:id="51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ONLYOFFICE/9.2.1.43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Cybersecurity Report: Critical Risk Assessment and Strategic Action Plan</dc:title>
  <dc:creator>Chief Information Security Officer</dc:creator>
  <cp:keywords/>
  <dcterms:created xsi:type="dcterms:W3CDTF">2026-01-02T11:28:41Z</dcterms:created>
  <dcterms:modified xsi:type="dcterms:W3CDTF">2026-01-02T11:28:41Z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2026-01-02</vt:lpwstr>
  </property>
</Properties>
</file>