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Title"/>
      </w:pPr>
      <w:r>
        <w:t xml:space="preserve">Стратегический</w:t>
      </w:r>
      <w:r>
        <w:t xml:space="preserve"> </w:t>
      </w: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кибербезопасности:</w:t>
      </w:r>
      <w:r>
        <w:t xml:space="preserve"> </w:t>
      </w:r>
      <w:r>
        <w:t xml:space="preserve">Критические</w:t>
      </w:r>
      <w:r>
        <w:t xml:space="preserve"> </w:t>
      </w:r>
      <w:r>
        <w:t xml:space="preserve">риски</w:t>
      </w:r>
      <w:r>
        <w:t xml:space="preserve"> </w:t>
      </w:r>
      <w:r>
        <w:t xml:space="preserve">и</w:t>
      </w:r>
      <w:r>
        <w:t xml:space="preserve"> </w:t>
      </w:r>
      <w:r>
        <w:t xml:space="preserve">управленческие</w:t>
      </w:r>
      <w:r>
        <w:t xml:space="preserve"> </w:t>
      </w:r>
      <w:r>
        <w:t xml:space="preserve">решения</w:t>
      </w:r>
    </w:p>
    <w:p>
      <w:pPr>
        <w:pStyle w:val="Author"/>
      </w:pPr>
      <w:r>
        <w:t xml:space="preserve">Директор</w:t>
      </w:r>
      <w:r>
        <w:t xml:space="preserve"> </w:t>
      </w:r>
      <w:r>
        <w:t xml:space="preserve">по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Date"/>
      </w:pPr>
      <w:r>
        <w:t xml:space="preserve">2026-01-02</w:t>
      </w:r>
    </w:p>
    <w:bookmarkStart w:id="22" w:name="резюме-для-руководства"/>
    <w:p>
      <w:pPr>
        <w:pStyle w:val="Heading1"/>
      </w:pPr>
      <w:r>
        <w:t xml:space="preserve">Резюме для руководства</w:t>
      </w:r>
    </w:p>
    <w:p>
      <w:pPr>
        <w:pStyle w:val="FirstParagraph"/>
      </w:pPr>
      <w:r>
        <w:t xml:space="preserve">Настоящий отчет представляет критический анализ состояния кибербезопасности компании на основе комплексного аудита, проведенного 30 декабря 2025 года.</w:t>
      </w:r>
      <w:r>
        <w:t xml:space="preserve"> </w:t>
      </w:r>
      <w:r>
        <w:rPr>
          <w:b/>
          <w:bCs/>
        </w:rPr>
        <w:t xml:space="preserve">Выявлены серьезные уязвимости, требующие немедленного вмешательства руководства</w:t>
      </w:r>
      <w:r>
        <w:t xml:space="preserve"> </w:t>
      </w:r>
      <w:r>
        <w:t xml:space="preserve">для предотвращения потенциальных финансовых потерь, репутационного ущерба и нарушений регулятивных требований.</w:t>
      </w:r>
    </w:p>
    <w:p>
      <w:pPr>
        <w:pStyle w:val="BlockText"/>
      </w:pPr>
      <w:r>
        <w:rPr>
          <w:b/>
          <w:bCs/>
        </w:rPr>
        <w:t xml:space="preserve">🚨 КРИТИЧЕСКОЕ ПРЕДУПРЕЖДЕНИЕ</w:t>
      </w:r>
      <w:r>
        <w:t xml:space="preserve">: Обнаружена утечка персональных данных клиентов. Риск штрафов GDPR до €20 млн или 4% от годового оборота.</w:t>
      </w:r>
    </w:p>
    <w:bookmarkStart w:id="20" w:name="ключевые-бизнес-риски"/>
    <w:p>
      <w:pPr>
        <w:pStyle w:val="Heading2"/>
      </w:pPr>
      <w:r>
        <w:t xml:space="preserve">Ключевые бизнес-риски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Категория риска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Потенциальные потери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рамки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Финансовые потери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Критический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$4.88 млн (средняя стоимость утечки)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Немедленно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Регулятивные штрафы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Критический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€20 млн (GDPR)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часа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Репутационный ущерб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Потеря 30% клиентов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1-6 месяцев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Операционные сбои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$50,000/час простоя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атаке</w:t>
            </w:r>
          </w:p>
        </w:tc>
      </w:tr>
    </w:tbl>
    <w:bookmarkEnd w:id="20"/>
    <w:bookmarkStart w:id="21" w:name="рекомендации-для-совета-директоров"/>
    <w:p>
      <w:pPr>
        <w:pStyle w:val="Heading2"/>
      </w:pPr>
      <w:r>
        <w:t xml:space="preserve">Рекомендации для совета директоров</w:t>
      </w:r>
    </w:p>
    <w:p>
      <w:pPr>
        <w:pStyle w:val="FirstParagraph"/>
      </w:pPr>
      <w:r>
        <w:rPr>
          <w:b/>
          <w:bCs/>
        </w:rPr>
        <w:t xml:space="preserve">Немедленные действия (0-72 часа):</w:t>
      </w:r>
    </w:p>
    <w:p>
      <w:pPr>
        <w:pStyle w:val="Compact"/>
        <w:numPr>
          <w:ilvl w:val="0"/>
          <w:numId w:val="1001"/>
        </w:numPr>
      </w:pPr>
      <w:r>
        <w:t xml:space="preserve">Выделить экстренный бюджет $150,000 на устранение критических уязвимостей</w:t>
      </w:r>
    </w:p>
    <w:p>
      <w:pPr>
        <w:pStyle w:val="Compact"/>
        <w:numPr>
          <w:ilvl w:val="0"/>
          <w:numId w:val="1001"/>
        </w:numPr>
      </w:pPr>
      <w:r>
        <w:t xml:space="preserve">Уведомить регулятивные органы о потенциальной утечке данных</w:t>
      </w:r>
    </w:p>
    <w:p>
      <w:pPr>
        <w:pStyle w:val="Compact"/>
        <w:numPr>
          <w:ilvl w:val="0"/>
          <w:numId w:val="1001"/>
        </w:numPr>
      </w:pPr>
      <w:r>
        <w:t xml:space="preserve">Активировать план антикризисных коммуникаций</w:t>
      </w:r>
    </w:p>
    <w:p>
      <w:pPr>
        <w:pStyle w:val="FirstParagraph"/>
      </w:pPr>
      <w:r>
        <w:rPr>
          <w:b/>
          <w:bCs/>
        </w:rPr>
        <w:t xml:space="preserve">Стратегические инвестиции (3-12 месяцев):</w:t>
      </w:r>
    </w:p>
    <w:p>
      <w:pPr>
        <w:pStyle w:val="Compact"/>
        <w:numPr>
          <w:ilvl w:val="0"/>
          <w:numId w:val="1002"/>
        </w:numPr>
      </w:pPr>
      <w:r>
        <w:t xml:space="preserve">Бюджет $500,000 на комплексную модернизацию системы безопасности</w:t>
      </w:r>
    </w:p>
    <w:p>
      <w:pPr>
        <w:pStyle w:val="Compact"/>
        <w:numPr>
          <w:ilvl w:val="0"/>
          <w:numId w:val="1002"/>
        </w:numPr>
      </w:pPr>
      <w:r>
        <w:t xml:space="preserve">ROI: экономия $2.4 млн в год за счет предотвращения инцидентов</w:t>
      </w:r>
    </w:p>
    <w:p>
      <w:pPr>
        <w:pStyle w:val="Compact"/>
        <w:numPr>
          <w:ilvl w:val="0"/>
          <w:numId w:val="1002"/>
        </w:numPr>
      </w:pPr>
      <w:r>
        <w:t xml:space="preserve">Создание должности CISO (Chief Information Security Officer)</w:t>
      </w:r>
    </w:p>
    <w:bookmarkEnd w:id="21"/>
    <w:bookmarkEnd w:id="22"/>
    <w:bookmarkStart w:id="26" w:name="анализ-бизнес-воздействия"/>
    <w:p>
      <w:pPr>
        <w:pStyle w:val="Heading1"/>
      </w:pPr>
      <w:r>
        <w:t xml:space="preserve">Анализ бизнес-воздействия</w:t>
      </w:r>
    </w:p>
    <w:bookmarkStart w:id="23" w:name="Xf3334fc2989a7d55417750880971a1f48ec05e6"/>
    <w:p>
      <w:pPr>
        <w:pStyle w:val="Heading2"/>
      </w:pPr>
      <w:r>
        <w:t xml:space="preserve">Финансовые последствия текущих уязвимостей</w:t>
      </w:r>
    </w:p>
    <w:p>
      <w:pPr>
        <w:pStyle w:val="FirstParagraph"/>
      </w:pPr>
      <w:r>
        <w:rPr>
          <w:b/>
          <w:bCs/>
        </w:rPr>
        <w:t xml:space="preserve">Прямые финансовые риски:</w:t>
      </w:r>
    </w:p>
    <w:p>
      <w:pPr>
        <w:pStyle w:val="BodyText"/>
      </w:pPr>
      <w:r>
        <w:t xml:space="preserve">Согласно исследованию IBM 2024 года, средняя стоимость утечки данных составляет</w:t>
      </w:r>
      <w:r>
        <w:t xml:space="preserve"> </w:t>
      </w:r>
      <w:r>
        <w:rPr>
          <w:b/>
          <w:bCs/>
        </w:rPr>
        <w:t xml:space="preserve">$4.88 млн</w:t>
      </w:r>
      <w:r>
        <w:t xml:space="preserve"> </w:t>
      </w:r>
      <w:r>
        <w:t xml:space="preserve">— рост на 10% по сравнению с предыдущим годом. Для нашей компании потенциальные потери включают:</w:t>
      </w:r>
    </w:p>
    <w:p>
      <w:pPr>
        <w:pStyle w:val="SourceCode"/>
      </w:pPr>
      <w:r>
        <w:rPr>
          <w:rStyle w:val="VerbatimChar"/>
        </w:rPr>
        <w:t xml:space="preserve">Прямые затраты на инцидент:</w:t>
      </w:r>
      <w:r>
        <w:br/>
      </w:r>
      <w:r>
        <w:rPr>
          <w:rStyle w:val="VerbatimChar"/>
        </w:rPr>
        <w:t xml:space="preserve">├── Расследование и устранение: $800,000</w:t>
      </w:r>
      <w:r>
        <w:br/>
      </w:r>
      <w:r>
        <w:rPr>
          <w:rStyle w:val="VerbatimChar"/>
        </w:rPr>
        <w:t xml:space="preserve">├── Юридические услуги: $400,000</w:t>
      </w:r>
      <w:r>
        <w:br/>
      </w:r>
      <w:r>
        <w:rPr>
          <w:rStyle w:val="VerbatimChar"/>
        </w:rPr>
        <w:t xml:space="preserve">├── Уведомление клиентов: $200,000</w:t>
      </w:r>
      <w:r>
        <w:br/>
      </w:r>
      <w:r>
        <w:rPr>
          <w:rStyle w:val="VerbatimChar"/>
        </w:rPr>
        <w:t xml:space="preserve">├── Мониторинг кредитных отчетов: $300,000</w:t>
      </w:r>
      <w:r>
        <w:br/>
      </w:r>
      <w:r>
        <w:rPr>
          <w:rStyle w:val="VerbatimChar"/>
        </w:rPr>
        <w:t xml:space="preserve">└── Штрафы регуляторов: $2,000,000 - $20,000,000</w:t>
      </w:r>
      <w:r>
        <w:br/>
      </w:r>
      <w:r>
        <w:br/>
      </w:r>
      <w:r>
        <w:rPr>
          <w:rStyle w:val="VerbatimChar"/>
        </w:rPr>
        <w:t xml:space="preserve">Косвенные потери:</w:t>
      </w:r>
      <w:r>
        <w:br/>
      </w:r>
      <w:r>
        <w:rPr>
          <w:rStyle w:val="VerbatimChar"/>
        </w:rPr>
        <w:t xml:space="preserve">├── Потеря клиентов (30%): $5,000,000</w:t>
      </w:r>
      <w:r>
        <w:br/>
      </w:r>
      <w:r>
        <w:rPr>
          <w:rStyle w:val="VerbatimChar"/>
        </w:rPr>
        <w:t xml:space="preserve">├── Снижение стоимости акций: $10,000,000</w:t>
      </w:r>
      <w:r>
        <w:br/>
      </w:r>
      <w:r>
        <w:rPr>
          <w:rStyle w:val="VerbatimChar"/>
        </w:rPr>
        <w:t xml:space="preserve">├── Увеличение страховых премий: $500,000/год</w:t>
      </w:r>
      <w:r>
        <w:br/>
      </w:r>
      <w:r>
        <w:rPr>
          <w:rStyle w:val="VerbatimChar"/>
        </w:rPr>
        <w:t xml:space="preserve">└── Затраты на восстановление репутации: $2,000,000</w:t>
      </w:r>
    </w:p>
    <w:p>
      <w:pPr>
        <w:pStyle w:val="FirstParagraph"/>
      </w:pPr>
      <w:r>
        <w:rPr>
          <w:b/>
          <w:bCs/>
        </w:rPr>
        <w:t xml:space="preserve">ROI инвестиций в безопасность:</w:t>
      </w:r>
    </w:p>
    <w:p>
      <w:pPr>
        <w:pStyle w:val="BodyText"/>
      </w:pPr>
      <w:r>
        <w:t xml:space="preserve">Исследования 2025 года показывают, что каждый доллар, вложенный в кибербезопасность, приносит</w:t>
      </w:r>
      <w:r>
        <w:t xml:space="preserve"> </w:t>
      </w:r>
      <m:oMath>
        <m:r>
          <m:t>3.50</m:t>
        </m:r>
        <m:r>
          <m:rPr>
            <m:sty m:val="p"/>
          </m:rPr>
          <m:t>−</m:t>
        </m:r>
      </m:oMath>
      <w:r>
        <w:rPr>
          <w:b/>
          <w:bCs/>
        </w:rPr>
        <w:t xml:space="preserve">4.20</w:t>
      </w:r>
      <w:r>
        <w:t xml:space="preserve"> </w:t>
      </w:r>
      <w:r>
        <w:t xml:space="preserve">экономии за счет предотвращения инцидентов.</w:t>
      </w:r>
    </w:p>
    <w:bookmarkEnd w:id="23"/>
    <w:bookmarkStart w:id="24" w:name="X29c084a5c2c288d691f4e9027f62d52ead47656"/>
    <w:p>
      <w:pPr>
        <w:pStyle w:val="Heading2"/>
      </w:pPr>
      <w:r>
        <w:t xml:space="preserve">Регулятивные риски и соответствие требованиям</w:t>
      </w:r>
    </w:p>
    <w:p>
      <w:pPr>
        <w:pStyle w:val="FirstParagraph"/>
      </w:pPr>
      <w:r>
        <w:rPr>
          <w:b/>
          <w:bCs/>
        </w:rPr>
        <w:t xml:space="preserve">Критические нарушения соответствия: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Регулятивный 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соответствия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Максимальный штраф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Вероятность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Критическое нарушение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 млн или 4% оборота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Нарушение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$7,500 за нарушение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Частичное соответствие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млн + тюремное 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PCI DSS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Нарушение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$100,000/месяц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Регулятивная среда 2025-2026:</w:t>
      </w:r>
    </w:p>
    <w:p>
      <w:pPr>
        <w:pStyle w:val="BodyText"/>
      </w:pPr>
      <w:r>
        <w:t xml:space="preserve">Тенденции показывают ужесточение требований:</w:t>
      </w:r>
    </w:p>
    <w:p>
      <w:pPr>
        <w:pStyle w:val="Compact"/>
        <w:numPr>
          <w:ilvl w:val="0"/>
          <w:numId w:val="1003"/>
        </w:numPr>
      </w:pPr>
      <w:r>
        <w:t xml:space="preserve">Увеличение штрафов на 40% в среднем</w:t>
      </w:r>
    </w:p>
    <w:p>
      <w:pPr>
        <w:pStyle w:val="Compact"/>
        <w:numPr>
          <w:ilvl w:val="0"/>
          <w:numId w:val="1003"/>
        </w:numPr>
      </w:pPr>
      <w:r>
        <w:t xml:space="preserve">Новые требования к уведомлению в течение 24 часов</w:t>
      </w:r>
    </w:p>
    <w:p>
      <w:pPr>
        <w:pStyle w:val="Compact"/>
        <w:numPr>
          <w:ilvl w:val="0"/>
          <w:numId w:val="1003"/>
        </w:numPr>
      </w:pPr>
      <w:r>
        <w:t xml:space="preserve">Персональная ответственность руководителей</w:t>
      </w:r>
    </w:p>
    <w:bookmarkEnd w:id="24"/>
    <w:bookmarkStart w:id="25" w:name="репутационные-и-операционные-риски"/>
    <w:p>
      <w:pPr>
        <w:pStyle w:val="Heading2"/>
      </w:pPr>
      <w:r>
        <w:t xml:space="preserve">Репутационные и операционные риски</w:t>
      </w:r>
    </w:p>
    <w:p>
      <w:pPr>
        <w:pStyle w:val="FirstParagraph"/>
      </w:pPr>
      <w:r>
        <w:rPr>
          <w:b/>
          <w:bCs/>
        </w:rPr>
        <w:t xml:space="preserve">Воздействие на репутацию:</w:t>
      </w:r>
    </w:p>
    <w:p>
      <w:pPr>
        <w:pStyle w:val="BodyText"/>
      </w:pPr>
      <w:r>
        <w:t xml:space="preserve">Анализ 165 компаний, пострадавших от утечек данных в 2024 году, показывает: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30% потеря клиентской базы</w:t>
      </w:r>
      <w:r>
        <w:t xml:space="preserve"> </w:t>
      </w:r>
      <w:r>
        <w:t xml:space="preserve">в течение 6 месяцев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Снижение стоимости акций на 25%</w:t>
      </w:r>
      <w:r>
        <w:t xml:space="preserve"> </w:t>
      </w:r>
      <w:r>
        <w:t xml:space="preserve">в первые 30 дней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Восстановление доверия занимает 2-3 года</w:t>
      </w:r>
    </w:p>
    <w:p>
      <w:pPr>
        <w:pStyle w:val="FirstParagraph"/>
      </w:pPr>
      <w:r>
        <w:rPr>
          <w:b/>
          <w:bCs/>
        </w:rPr>
        <w:t xml:space="preserve">Операционные последствия:</w:t>
      </w:r>
    </w:p>
    <w:p>
      <w:pPr>
        <w:pStyle w:val="Compact"/>
        <w:numPr>
          <w:ilvl w:val="0"/>
          <w:numId w:val="1005"/>
        </w:numPr>
      </w:pPr>
      <w:r>
        <w:t xml:space="preserve">Простой систем: $50,000 за час</w:t>
      </w:r>
    </w:p>
    <w:p>
      <w:pPr>
        <w:pStyle w:val="Compact"/>
        <w:numPr>
          <w:ilvl w:val="0"/>
          <w:numId w:val="1005"/>
        </w:numPr>
      </w:pPr>
      <w:r>
        <w:t xml:space="preserve">Потеря производительности: 40% в первую неделю</w:t>
      </w:r>
    </w:p>
    <w:p>
      <w:pPr>
        <w:pStyle w:val="Compact"/>
        <w:numPr>
          <w:ilvl w:val="0"/>
          <w:numId w:val="1005"/>
        </w:numPr>
      </w:pPr>
      <w:r>
        <w:t xml:space="preserve">Затраты на восстановление данных:</w:t>
      </w:r>
      <w:r>
        <w:t xml:space="preserve"> </w:t>
      </w:r>
      <m:oMath>
        <m:r>
          <m:t>200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</m:oMath>
      <w:r>
        <w:t xml:space="preserve">500,000</w:t>
      </w:r>
    </w:p>
    <w:bookmarkEnd w:id="25"/>
    <w:bookmarkEnd w:id="26"/>
    <w:bookmarkStart w:id="30" w:name="стратегический-план-действий"/>
    <w:p>
      <w:pPr>
        <w:pStyle w:val="Heading1"/>
      </w:pPr>
      <w:r>
        <w:t xml:space="preserve">Стратегический план действий</w:t>
      </w:r>
    </w:p>
    <w:bookmarkStart w:id="27" w:name="фаза-1-экстренное-реагирование-0-72-часа"/>
    <w:p>
      <w:pPr>
        <w:pStyle w:val="Heading2"/>
      </w:pPr>
      <w:r>
        <w:t xml:space="preserve">Фаза 1: Экстренное реагирование (0-72 часа)</w:t>
      </w:r>
    </w:p>
    <w:p>
      <w:pPr>
        <w:pStyle w:val="FirstParagraph"/>
      </w:pPr>
      <w:r>
        <w:rPr>
          <w:b/>
          <w:bCs/>
        </w:rPr>
        <w:t xml:space="preserve">Бюджет: $150,000</w:t>
      </w:r>
    </w:p>
    <w:p>
      <w:pPr>
        <w:pStyle w:val="BodyText"/>
      </w:pPr>
      <w:r>
        <w:rPr>
          <w:b/>
          <w:bCs/>
        </w:rPr>
        <w:t xml:space="preserve">Критические действия: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Устранение утечки персональных данных</w:t>
      </w:r>
    </w:p>
    <w:p>
      <w:pPr>
        <w:pStyle w:val="Compact"/>
        <w:numPr>
          <w:ilvl w:val="1"/>
          <w:numId w:val="1007"/>
        </w:numPr>
      </w:pPr>
      <w:r>
        <w:t xml:space="preserve">Немедленное отключение уязвимых API</w:t>
      </w:r>
    </w:p>
    <w:p>
      <w:pPr>
        <w:pStyle w:val="Compact"/>
        <w:numPr>
          <w:ilvl w:val="1"/>
          <w:numId w:val="1007"/>
        </w:numPr>
      </w:pPr>
      <w:r>
        <w:t xml:space="preserve">Аудит всех затронутых учетных записей</w:t>
      </w:r>
    </w:p>
    <w:p>
      <w:pPr>
        <w:pStyle w:val="Compact"/>
        <w:numPr>
          <w:ilvl w:val="1"/>
          <w:numId w:val="1007"/>
        </w:numPr>
      </w:pPr>
      <w:r>
        <w:t xml:space="preserve">Уведомление регулятивных органов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Активация кризисного управления</w:t>
      </w:r>
    </w:p>
    <w:p>
      <w:pPr>
        <w:pStyle w:val="Compact"/>
        <w:numPr>
          <w:ilvl w:val="1"/>
          <w:numId w:val="1008"/>
        </w:numPr>
      </w:pPr>
      <w:r>
        <w:t xml:space="preserve">Создание ситуационного центра</w:t>
      </w:r>
    </w:p>
    <w:p>
      <w:pPr>
        <w:pStyle w:val="Compact"/>
        <w:numPr>
          <w:ilvl w:val="1"/>
          <w:numId w:val="1008"/>
        </w:numPr>
      </w:pPr>
      <w:r>
        <w:t xml:space="preserve">Привлечение внешних экспертов по кибербезопасности</w:t>
      </w:r>
    </w:p>
    <w:p>
      <w:pPr>
        <w:pStyle w:val="Compact"/>
        <w:numPr>
          <w:ilvl w:val="1"/>
          <w:numId w:val="1008"/>
        </w:numPr>
      </w:pPr>
      <w:r>
        <w:t xml:space="preserve">Подготовка коммуникационной стратегии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Правовая защита</w:t>
      </w:r>
    </w:p>
    <w:p>
      <w:pPr>
        <w:pStyle w:val="Compact"/>
        <w:numPr>
          <w:ilvl w:val="1"/>
          <w:numId w:val="1009"/>
        </w:numPr>
      </w:pPr>
      <w:r>
        <w:t xml:space="preserve">Консультации с юристами по GDPR</w:t>
      </w:r>
    </w:p>
    <w:p>
      <w:pPr>
        <w:pStyle w:val="Compact"/>
        <w:numPr>
          <w:ilvl w:val="1"/>
          <w:numId w:val="1009"/>
        </w:numPr>
      </w:pPr>
      <w:r>
        <w:t xml:space="preserve">Подготовка документации для регуляторов</w:t>
      </w:r>
    </w:p>
    <w:p>
      <w:pPr>
        <w:pStyle w:val="Compact"/>
        <w:numPr>
          <w:ilvl w:val="1"/>
          <w:numId w:val="1009"/>
        </w:numPr>
      </w:pPr>
      <w:r>
        <w:t xml:space="preserve">Оценка страхового покрытия</w:t>
      </w:r>
    </w:p>
    <w:p>
      <w:pPr>
        <w:pStyle w:val="FirstParagraph"/>
      </w:pPr>
      <w:r>
        <w:rPr>
          <w:b/>
          <w:bCs/>
        </w:rPr>
        <w:t xml:space="preserve">Ожидаемые результаты:</w:t>
      </w:r>
    </w:p>
    <w:p>
      <w:pPr>
        <w:pStyle w:val="Compact"/>
        <w:numPr>
          <w:ilvl w:val="0"/>
          <w:numId w:val="1010"/>
        </w:numPr>
      </w:pPr>
      <w:r>
        <w:t xml:space="preserve">Снижение риска штрафов на 60%</w:t>
      </w:r>
    </w:p>
    <w:p>
      <w:pPr>
        <w:pStyle w:val="Compact"/>
        <w:numPr>
          <w:ilvl w:val="0"/>
          <w:numId w:val="1010"/>
        </w:numPr>
      </w:pPr>
      <w:r>
        <w:t xml:space="preserve">Предотвращение дальнейшей утечки данных</w:t>
      </w:r>
    </w:p>
    <w:p>
      <w:pPr>
        <w:pStyle w:val="Compact"/>
        <w:numPr>
          <w:ilvl w:val="0"/>
          <w:numId w:val="1010"/>
        </w:numPr>
      </w:pPr>
      <w:r>
        <w:t xml:space="preserve">Демонстрация проактивного подхода регуляторам</w:t>
      </w:r>
    </w:p>
    <w:bookmarkEnd w:id="27"/>
    <w:bookmarkStart w:id="28" w:name="X3d93165c8d92c0c85cc477d590deaedcc18984a"/>
    <w:p>
      <w:pPr>
        <w:pStyle w:val="Heading2"/>
      </w:pPr>
      <w:r>
        <w:t xml:space="preserve">Фаза 2: Тактическая стабилизация (1-4 недели)</w:t>
      </w:r>
    </w:p>
    <w:p>
      <w:pPr>
        <w:pStyle w:val="FirstParagraph"/>
      </w:pPr>
      <w:r>
        <w:rPr>
          <w:b/>
          <w:bCs/>
        </w:rPr>
        <w:t xml:space="preserve">Бюджет: $300,000</w:t>
      </w:r>
    </w:p>
    <w:p>
      <w:pPr>
        <w:pStyle w:val="BodyText"/>
      </w:pPr>
      <w:r>
        <w:rPr>
          <w:b/>
          <w:bCs/>
        </w:rPr>
        <w:t xml:space="preserve">Ключевые инициативы: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Внедрение базовых средств защиты</w:t>
      </w:r>
    </w:p>
    <w:p>
      <w:pPr>
        <w:pStyle w:val="Compact"/>
        <w:numPr>
          <w:ilvl w:val="1"/>
          <w:numId w:val="1012"/>
        </w:numPr>
      </w:pPr>
      <w:r>
        <w:t xml:space="preserve">Настройка заголовков безопасности</w:t>
      </w:r>
    </w:p>
    <w:p>
      <w:pPr>
        <w:pStyle w:val="Compact"/>
        <w:numPr>
          <w:ilvl w:val="1"/>
          <w:numId w:val="1012"/>
        </w:numPr>
      </w:pPr>
      <w:r>
        <w:t xml:space="preserve">Внедрение Content Security Policy</w:t>
      </w:r>
    </w:p>
    <w:p>
      <w:pPr>
        <w:pStyle w:val="Compact"/>
        <w:numPr>
          <w:ilvl w:val="1"/>
          <w:numId w:val="1012"/>
        </w:numPr>
      </w:pPr>
      <w:r>
        <w:t xml:space="preserve">Установка систем мониторинга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Усиление контроля доступа</w:t>
      </w:r>
    </w:p>
    <w:p>
      <w:pPr>
        <w:pStyle w:val="Compact"/>
        <w:numPr>
          <w:ilvl w:val="1"/>
          <w:numId w:val="1013"/>
        </w:numPr>
      </w:pPr>
      <w:r>
        <w:t xml:space="preserve">Многофакторная аутентификация для всех систем</w:t>
      </w:r>
    </w:p>
    <w:p>
      <w:pPr>
        <w:pStyle w:val="Compact"/>
        <w:numPr>
          <w:ilvl w:val="1"/>
          <w:numId w:val="1013"/>
        </w:numPr>
      </w:pPr>
      <w:r>
        <w:t xml:space="preserve">Аудит привилегий пользователей</w:t>
      </w:r>
    </w:p>
    <w:p>
      <w:pPr>
        <w:pStyle w:val="Compact"/>
        <w:numPr>
          <w:ilvl w:val="1"/>
          <w:numId w:val="1013"/>
        </w:numPr>
      </w:pPr>
      <w:r>
        <w:t xml:space="preserve">Сегментация сети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Обучение персонала</w:t>
      </w:r>
    </w:p>
    <w:p>
      <w:pPr>
        <w:pStyle w:val="Compact"/>
        <w:numPr>
          <w:ilvl w:val="1"/>
          <w:numId w:val="1014"/>
        </w:numPr>
      </w:pPr>
      <w:r>
        <w:t xml:space="preserve">Экстренное обучение по фишингу</w:t>
      </w:r>
    </w:p>
    <w:p>
      <w:pPr>
        <w:pStyle w:val="Compact"/>
        <w:numPr>
          <w:ilvl w:val="1"/>
          <w:numId w:val="1014"/>
        </w:numPr>
      </w:pPr>
      <w:r>
        <w:t xml:space="preserve">Процедуры реагирования на инциденты</w:t>
      </w:r>
    </w:p>
    <w:p>
      <w:pPr>
        <w:pStyle w:val="Compact"/>
        <w:numPr>
          <w:ilvl w:val="1"/>
          <w:numId w:val="1014"/>
        </w:numPr>
      </w:pPr>
      <w:r>
        <w:t xml:space="preserve">Культура безопасности</w:t>
      </w:r>
    </w:p>
    <w:p>
      <w:pPr>
        <w:pStyle w:val="FirstParagraph"/>
      </w:pPr>
      <w:r>
        <w:rPr>
          <w:b/>
          <w:bCs/>
        </w:rPr>
        <w:t xml:space="preserve">Метрики успеха:</w:t>
      </w:r>
    </w:p>
    <w:p>
      <w:pPr>
        <w:pStyle w:val="Compact"/>
        <w:numPr>
          <w:ilvl w:val="0"/>
          <w:numId w:val="1015"/>
        </w:numPr>
      </w:pPr>
      <w:r>
        <w:t xml:space="preserve">Снижение уязвимостей на 70%</w:t>
      </w:r>
    </w:p>
    <w:p>
      <w:pPr>
        <w:pStyle w:val="Compact"/>
        <w:numPr>
          <w:ilvl w:val="0"/>
          <w:numId w:val="1015"/>
        </w:numPr>
      </w:pPr>
      <w:r>
        <w:t xml:space="preserve">Время обнаружения угроз &lt; 24 часа</w:t>
      </w:r>
    </w:p>
    <w:p>
      <w:pPr>
        <w:pStyle w:val="Compact"/>
        <w:numPr>
          <w:ilvl w:val="0"/>
          <w:numId w:val="1015"/>
        </w:numPr>
      </w:pPr>
      <w:r>
        <w:t xml:space="preserve">100% покрытие MFA для критических систем</w:t>
      </w:r>
    </w:p>
    <w:bookmarkEnd w:id="28"/>
    <w:bookmarkStart w:id="29" w:name="Xf3e57bd1e719a027d805b311859bd1f0d02232c"/>
    <w:p>
      <w:pPr>
        <w:pStyle w:val="Heading2"/>
      </w:pPr>
      <w:r>
        <w:t xml:space="preserve">Фаза 3: Стратегическая трансформация (2-12 месяцев)</w:t>
      </w:r>
    </w:p>
    <w:p>
      <w:pPr>
        <w:pStyle w:val="FirstParagraph"/>
      </w:pPr>
      <w:r>
        <w:rPr>
          <w:b/>
          <w:bCs/>
        </w:rPr>
        <w:t xml:space="preserve">Бюджет: $500,000</w:t>
      </w:r>
    </w:p>
    <w:p>
      <w:pPr>
        <w:pStyle w:val="BodyText"/>
      </w:pPr>
      <w:r>
        <w:rPr>
          <w:b/>
          <w:bCs/>
        </w:rPr>
        <w:t xml:space="preserve">Долгосрочные инвестиции: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Создание службы безопасности</w:t>
      </w:r>
    </w:p>
    <w:p>
      <w:pPr>
        <w:pStyle w:val="Compact"/>
        <w:numPr>
          <w:ilvl w:val="1"/>
          <w:numId w:val="1017"/>
        </w:numPr>
      </w:pPr>
      <w:r>
        <w:t xml:space="preserve">Найм CISO (Chief Information Security Officer)</w:t>
      </w:r>
    </w:p>
    <w:p>
      <w:pPr>
        <w:pStyle w:val="Compact"/>
        <w:numPr>
          <w:ilvl w:val="1"/>
          <w:numId w:val="1017"/>
        </w:numPr>
      </w:pPr>
      <w:r>
        <w:t xml:space="preserve">Формирование команды SOC (Security Operations Center)</w:t>
      </w:r>
    </w:p>
    <w:p>
      <w:pPr>
        <w:pStyle w:val="Compact"/>
        <w:numPr>
          <w:ilvl w:val="1"/>
          <w:numId w:val="1017"/>
        </w:numPr>
      </w:pPr>
      <w:r>
        <w:t xml:space="preserve">Внедрение процессов управления рисками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Технологическая модернизация</w:t>
      </w:r>
    </w:p>
    <w:p>
      <w:pPr>
        <w:pStyle w:val="Compact"/>
        <w:numPr>
          <w:ilvl w:val="1"/>
          <w:numId w:val="1018"/>
        </w:numPr>
      </w:pPr>
      <w:r>
        <w:t xml:space="preserve">Внедрение SIEM/SOAR платформы</w:t>
      </w:r>
    </w:p>
    <w:p>
      <w:pPr>
        <w:pStyle w:val="Compact"/>
        <w:numPr>
          <w:ilvl w:val="1"/>
          <w:numId w:val="1018"/>
        </w:numPr>
      </w:pPr>
      <w:r>
        <w:t xml:space="preserve">Автоматизация реагирования на инциденты</w:t>
      </w:r>
    </w:p>
    <w:p>
      <w:pPr>
        <w:pStyle w:val="Compact"/>
        <w:numPr>
          <w:ilvl w:val="1"/>
          <w:numId w:val="1018"/>
        </w:numPr>
      </w:pPr>
      <w:r>
        <w:t xml:space="preserve">Резервное копирование и восстановление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Программа соответствия</w:t>
      </w:r>
    </w:p>
    <w:p>
      <w:pPr>
        <w:pStyle w:val="Compact"/>
        <w:numPr>
          <w:ilvl w:val="1"/>
          <w:numId w:val="1019"/>
        </w:numPr>
      </w:pPr>
      <w:r>
        <w:t xml:space="preserve">Сертификация ISO 27001</w:t>
      </w:r>
    </w:p>
    <w:p>
      <w:pPr>
        <w:pStyle w:val="Compact"/>
        <w:numPr>
          <w:ilvl w:val="1"/>
          <w:numId w:val="1019"/>
        </w:numPr>
      </w:pPr>
      <w:r>
        <w:t xml:space="preserve">Аудиты SOC 2 Type II</w:t>
      </w:r>
    </w:p>
    <w:p>
      <w:pPr>
        <w:pStyle w:val="Compact"/>
        <w:numPr>
          <w:ilvl w:val="1"/>
          <w:numId w:val="1019"/>
        </w:numPr>
      </w:pPr>
      <w:r>
        <w:t xml:space="preserve">Программа управления поставщиками</w:t>
      </w:r>
    </w:p>
    <w:p>
      <w:pPr>
        <w:pStyle w:val="FirstParagraph"/>
      </w:pPr>
      <w:r>
        <w:rPr>
          <w:b/>
          <w:bCs/>
        </w:rPr>
        <w:t xml:space="preserve">Ожидаемый ROI:</w:t>
      </w:r>
    </w:p>
    <w:p>
      <w:pPr>
        <w:pStyle w:val="Compact"/>
        <w:numPr>
          <w:ilvl w:val="0"/>
          <w:numId w:val="1020"/>
        </w:numPr>
      </w:pPr>
      <w:r>
        <w:t xml:space="preserve">Экономия $2.4 млн/год на предотвращении инцидентов</w:t>
      </w:r>
    </w:p>
    <w:p>
      <w:pPr>
        <w:pStyle w:val="Compact"/>
        <w:numPr>
          <w:ilvl w:val="0"/>
          <w:numId w:val="1020"/>
        </w:numPr>
      </w:pPr>
      <w:r>
        <w:t xml:space="preserve">Снижение страховых премий на 30%</w:t>
      </w:r>
    </w:p>
    <w:p>
      <w:pPr>
        <w:pStyle w:val="Compact"/>
        <w:numPr>
          <w:ilvl w:val="0"/>
          <w:numId w:val="1020"/>
        </w:numPr>
      </w:pPr>
      <w:r>
        <w:t xml:space="preserve">Повышение доверия клиентов и партнеров</w:t>
      </w:r>
    </w:p>
    <w:bookmarkEnd w:id="29"/>
    <w:bookmarkEnd w:id="30"/>
    <w:bookmarkStart w:id="33" w:name="финансовое-обоснование-инвестиций"/>
    <w:p>
      <w:pPr>
        <w:pStyle w:val="Heading1"/>
      </w:pPr>
      <w:r>
        <w:t xml:space="preserve">Финансовое обоснование инвестиций</w:t>
      </w:r>
    </w:p>
    <w:bookmarkStart w:id="31" w:name="анализ-затрат-и-выгод"/>
    <w:p>
      <w:pPr>
        <w:pStyle w:val="Heading2"/>
      </w:pPr>
      <w:r>
        <w:t xml:space="preserve">Анализ затрат и выгод</w:t>
      </w:r>
    </w:p>
    <w:p>
      <w:pPr>
        <w:pStyle w:val="FirstParagraph"/>
      </w:pPr>
      <w:r>
        <w:rPr>
          <w:b/>
          <w:bCs/>
        </w:rPr>
        <w:t xml:space="preserve">Общие инвестиции: $950,000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Инвестиции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Экономия/год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Предотвращение утечек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Соответствие требованиям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Операционная эффективность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$2,400,000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253%</w:t>
            </w:r>
          </w:p>
        </w:tc>
      </w:tr>
    </w:tbl>
    <w:bookmarkEnd w:id="31"/>
    <w:bookmarkStart w:id="32" w:name="сравнение-с-отраслевыми-показателями"/>
    <w:p>
      <w:pPr>
        <w:pStyle w:val="Heading2"/>
      </w:pPr>
      <w:r>
        <w:t xml:space="preserve">Сравнение с отраслевыми показателями</w:t>
      </w:r>
    </w:p>
    <w:p>
      <w:pPr>
        <w:pStyle w:val="FirstParagraph"/>
      </w:pPr>
      <w:r>
        <w:rPr>
          <w:b/>
          <w:bCs/>
        </w:rPr>
        <w:t xml:space="preserve">Бенчмарки инвестиций в кибербезопасность 2025:</w:t>
      </w:r>
    </w:p>
    <w:p>
      <w:pPr>
        <w:pStyle w:val="Compact"/>
        <w:numPr>
          <w:ilvl w:val="0"/>
          <w:numId w:val="1021"/>
        </w:numPr>
      </w:pPr>
      <w:r>
        <w:t xml:space="preserve">Средние затраты в отрасли: 3.5% от IT-бюджета</w:t>
      </w:r>
    </w:p>
    <w:p>
      <w:pPr>
        <w:pStyle w:val="Compact"/>
        <w:numPr>
          <w:ilvl w:val="0"/>
          <w:numId w:val="1021"/>
        </w:numPr>
      </w:pPr>
      <w:r>
        <w:t xml:space="preserve">Наши текущие затраты: 1.2% от IT-бюджета</w:t>
      </w:r>
    </w:p>
    <w:p>
      <w:pPr>
        <w:pStyle w:val="Compact"/>
        <w:numPr>
          <w:ilvl w:val="0"/>
          <w:numId w:val="1021"/>
        </w:numPr>
      </w:pPr>
      <w:r>
        <w:t xml:space="preserve">Рекомендуемый уровень: 4.5% от IT-бюджета</w:t>
      </w:r>
    </w:p>
    <w:p>
      <w:pPr>
        <w:pStyle w:val="FirstParagraph"/>
      </w:pPr>
      <w:r>
        <w:rPr>
          <w:b/>
          <w:bCs/>
        </w:rPr>
        <w:t xml:space="preserve">Конкурентные преимущества:</w:t>
      </w:r>
    </w:p>
    <w:p>
      <w:pPr>
        <w:pStyle w:val="Compact"/>
        <w:numPr>
          <w:ilvl w:val="0"/>
          <w:numId w:val="1022"/>
        </w:numPr>
      </w:pPr>
      <w:r>
        <w:t xml:space="preserve">Сертификация безопасности как конкурентное преимущество</w:t>
      </w:r>
    </w:p>
    <w:p>
      <w:pPr>
        <w:pStyle w:val="Compact"/>
        <w:numPr>
          <w:ilvl w:val="0"/>
          <w:numId w:val="1022"/>
        </w:numPr>
      </w:pPr>
      <w:r>
        <w:t xml:space="preserve">Возможность работы с крупными корпоративными клиентами</w:t>
      </w:r>
    </w:p>
    <w:p>
      <w:pPr>
        <w:pStyle w:val="Compact"/>
        <w:numPr>
          <w:ilvl w:val="0"/>
          <w:numId w:val="1022"/>
        </w:numPr>
      </w:pPr>
      <w:r>
        <w:t xml:space="preserve">Снижение требований к страхованию</w:t>
      </w:r>
    </w:p>
    <w:bookmarkEnd w:id="32"/>
    <w:bookmarkEnd w:id="33"/>
    <w:bookmarkStart w:id="36" w:name="управление-рисками-и-мониторинг"/>
    <w:p>
      <w:pPr>
        <w:pStyle w:val="Heading1"/>
      </w:pPr>
      <w:r>
        <w:t xml:space="preserve">Управление рисками и мониторинг</w:t>
      </w:r>
    </w:p>
    <w:bookmarkStart w:id="34" w:name="ключевые-показатели-эффективности-kpi"/>
    <w:p>
      <w:pPr>
        <w:pStyle w:val="Heading2"/>
      </w:pPr>
      <w:r>
        <w:t xml:space="preserve">Ключевые показатели эффективности (KPI)</w:t>
      </w:r>
    </w:p>
    <w:p>
      <w:pPr>
        <w:pStyle w:val="FirstParagraph"/>
      </w:pPr>
      <w:r>
        <w:rPr>
          <w:b/>
          <w:bCs/>
        </w:rPr>
        <w:t xml:space="preserve">Операционные метрики:</w:t>
      </w:r>
    </w:p>
    <w:p>
      <w:pPr>
        <w:pStyle w:val="Compact"/>
        <w:numPr>
          <w:ilvl w:val="0"/>
          <w:numId w:val="1023"/>
        </w:numPr>
      </w:pPr>
      <w:r>
        <w:t xml:space="preserve">Время обнаружения угроз: &lt; 1 час (цель)</w:t>
      </w:r>
    </w:p>
    <w:p>
      <w:pPr>
        <w:pStyle w:val="Compact"/>
        <w:numPr>
          <w:ilvl w:val="0"/>
          <w:numId w:val="1023"/>
        </w:numPr>
      </w:pPr>
      <w:r>
        <w:t xml:space="preserve">Время реагирования на инциденты: &lt; 4 часа</w:t>
      </w:r>
    </w:p>
    <w:p>
      <w:pPr>
        <w:pStyle w:val="Compact"/>
        <w:numPr>
          <w:ilvl w:val="0"/>
          <w:numId w:val="1023"/>
        </w:numPr>
      </w:pPr>
      <w:r>
        <w:t xml:space="preserve">Процент успешных фишинговых атак: &lt; 2%</w:t>
      </w:r>
    </w:p>
    <w:p>
      <w:pPr>
        <w:pStyle w:val="Compact"/>
        <w:numPr>
          <w:ilvl w:val="0"/>
          <w:numId w:val="1023"/>
        </w:numPr>
      </w:pPr>
      <w:r>
        <w:t xml:space="preserve">Доступность критических систем: &gt; 99.9%</w:t>
      </w:r>
    </w:p>
    <w:p>
      <w:pPr>
        <w:pStyle w:val="FirstParagraph"/>
      </w:pPr>
      <w:r>
        <w:rPr>
          <w:b/>
          <w:bCs/>
        </w:rPr>
        <w:t xml:space="preserve">Бизнес-метрики:</w:t>
      </w:r>
    </w:p>
    <w:p>
      <w:pPr>
        <w:pStyle w:val="Compact"/>
        <w:numPr>
          <w:ilvl w:val="0"/>
          <w:numId w:val="1024"/>
        </w:numPr>
      </w:pPr>
      <w:r>
        <w:t xml:space="preserve">Количество инцидентов безопасности: снижение на 80%</w:t>
      </w:r>
    </w:p>
    <w:p>
      <w:pPr>
        <w:pStyle w:val="Compact"/>
        <w:numPr>
          <w:ilvl w:val="0"/>
          <w:numId w:val="1024"/>
        </w:numPr>
      </w:pPr>
      <w:r>
        <w:t xml:space="preserve">Стоимость инцидентов: снижение на 90%</w:t>
      </w:r>
    </w:p>
    <w:p>
      <w:pPr>
        <w:pStyle w:val="Compact"/>
        <w:numPr>
          <w:ilvl w:val="0"/>
          <w:numId w:val="1024"/>
        </w:numPr>
      </w:pPr>
      <w:r>
        <w:t xml:space="preserve">Время простоя систем: снижение на 95%</w:t>
      </w:r>
    </w:p>
    <w:p>
      <w:pPr>
        <w:pStyle w:val="Compact"/>
        <w:numPr>
          <w:ilvl w:val="0"/>
          <w:numId w:val="1024"/>
        </w:numPr>
      </w:pPr>
      <w:r>
        <w:t xml:space="preserve">Удовлетворенность клиентов: поддержание &gt; 95%</w:t>
      </w:r>
    </w:p>
    <w:bookmarkEnd w:id="34"/>
    <w:bookmarkStart w:id="35" w:name="структура-управления"/>
    <w:p>
      <w:pPr>
        <w:pStyle w:val="Heading2"/>
      </w:pPr>
      <w:r>
        <w:t xml:space="preserve">Структура управления</w:t>
      </w:r>
    </w:p>
    <w:p>
      <w:pPr>
        <w:pStyle w:val="FirstParagraph"/>
      </w:pPr>
      <w:r>
        <w:rPr>
          <w:b/>
          <w:bCs/>
        </w:rPr>
        <w:t xml:space="preserve">Рекомендуемая организационная структура:</w:t>
      </w:r>
    </w:p>
    <w:p>
      <w:pPr>
        <w:pStyle w:val="SourceCode"/>
      </w:pPr>
      <w:r>
        <w:rPr>
          <w:rStyle w:val="VerbatimChar"/>
        </w:rPr>
        <w:t xml:space="preserve">Совет директоров</w:t>
      </w:r>
      <w:r>
        <w:br/>
      </w:r>
      <w:r>
        <w:rPr>
          <w:rStyle w:val="VerbatimChar"/>
        </w:rPr>
        <w:t xml:space="preserve">├── Комитет по рискам и аудиту</w:t>
      </w:r>
      <w:r>
        <w:br/>
      </w:r>
      <w:r>
        <w:rPr>
          <w:rStyle w:val="VerbatimChar"/>
        </w:rPr>
        <w:t xml:space="preserve">│   └── Подкомитет по кибербезопасности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Исполнительное руководство</w:t>
      </w:r>
      <w:r>
        <w:br/>
      </w:r>
      <w:r>
        <w:rPr>
          <w:rStyle w:val="VerbatimChar"/>
        </w:rPr>
        <w:t xml:space="preserve">├── CEO (общая ответственность)</w:t>
      </w:r>
      <w:r>
        <w:br/>
      </w:r>
      <w:r>
        <w:rPr>
          <w:rStyle w:val="VerbatimChar"/>
        </w:rPr>
        <w:t xml:space="preserve">├── CISO (операционная ответственность)</w:t>
      </w:r>
      <w:r>
        <w:br/>
      </w:r>
      <w:r>
        <w:rPr>
          <w:rStyle w:val="VerbatimChar"/>
        </w:rPr>
        <w:t xml:space="preserve">│   ├── SOC Manager</w:t>
      </w:r>
      <w:r>
        <w:br/>
      </w:r>
      <w:r>
        <w:rPr>
          <w:rStyle w:val="VerbatimChar"/>
        </w:rPr>
        <w:t xml:space="preserve">│   ├── Compliance Manager</w:t>
      </w:r>
      <w:r>
        <w:br/>
      </w:r>
      <w:r>
        <w:rPr>
          <w:rStyle w:val="VerbatimChar"/>
        </w:rPr>
        <w:t xml:space="preserve">│   └── Incident Response Manager</w:t>
      </w:r>
      <w:r>
        <w:br/>
      </w:r>
      <w:r>
        <w:rPr>
          <w:rStyle w:val="VerbatimChar"/>
        </w:rPr>
        <w:t xml:space="preserve">└── CTO (техническая поддержка)</w:t>
      </w:r>
    </w:p>
    <w:p>
      <w:pPr>
        <w:pStyle w:val="FirstParagraph"/>
      </w:pPr>
      <w:r>
        <w:rPr>
          <w:b/>
          <w:bCs/>
        </w:rPr>
        <w:t xml:space="preserve">Отчетность:</w:t>
      </w:r>
    </w:p>
    <w:p>
      <w:pPr>
        <w:pStyle w:val="Compact"/>
        <w:numPr>
          <w:ilvl w:val="0"/>
          <w:numId w:val="1025"/>
        </w:numPr>
      </w:pPr>
      <w:r>
        <w:t xml:space="preserve">Ежемесячные отчеты для совета директоров</w:t>
      </w:r>
    </w:p>
    <w:p>
      <w:pPr>
        <w:pStyle w:val="Compact"/>
        <w:numPr>
          <w:ilvl w:val="0"/>
          <w:numId w:val="1025"/>
        </w:numPr>
      </w:pPr>
      <w:r>
        <w:t xml:space="preserve">Еженедельные сводки для исполнительного руководства</w:t>
      </w:r>
    </w:p>
    <w:p>
      <w:pPr>
        <w:pStyle w:val="Compact"/>
        <w:numPr>
          <w:ilvl w:val="0"/>
          <w:numId w:val="1025"/>
        </w:numPr>
      </w:pPr>
      <w:r>
        <w:t xml:space="preserve">Ежедневные операционные дашборды</w:t>
      </w:r>
    </w:p>
    <w:bookmarkEnd w:id="35"/>
    <w:bookmarkEnd w:id="36"/>
    <w:bookmarkStart w:id="40" w:name="рекомендации-по-принятию-решений"/>
    <w:p>
      <w:pPr>
        <w:pStyle w:val="Heading1"/>
      </w:pPr>
      <w:r>
        <w:t xml:space="preserve">Рекомендации по принятию решений</w:t>
      </w:r>
    </w:p>
    <w:bookmarkStart w:id="37" w:name="Xb41957f38454a01b6b62bde9fef039d29c98d3e"/>
    <w:p>
      <w:pPr>
        <w:pStyle w:val="Heading2"/>
      </w:pPr>
      <w:r>
        <w:t xml:space="preserve">Немедленные решения (требуют одобрения в течение 24 часов)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Выделение экстренного бюджета $150,000</w:t>
      </w:r>
    </w:p>
    <w:p>
      <w:pPr>
        <w:pStyle w:val="Compact"/>
        <w:numPr>
          <w:ilvl w:val="1"/>
          <w:numId w:val="1027"/>
        </w:numPr>
      </w:pPr>
      <w:r>
        <w:t xml:space="preserve">Устранение критической утечки данных</w:t>
      </w:r>
    </w:p>
    <w:p>
      <w:pPr>
        <w:pStyle w:val="Compact"/>
        <w:numPr>
          <w:ilvl w:val="1"/>
          <w:numId w:val="1027"/>
        </w:numPr>
      </w:pPr>
      <w:r>
        <w:t xml:space="preserve">Привлечение внешних экспертов</w:t>
      </w:r>
    </w:p>
    <w:p>
      <w:pPr>
        <w:pStyle w:val="Compact"/>
        <w:numPr>
          <w:ilvl w:val="1"/>
          <w:numId w:val="1027"/>
        </w:numPr>
      </w:pPr>
      <w:r>
        <w:t xml:space="preserve">Юридическая поддержка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Активация плана кризисных коммуникаций</w:t>
      </w:r>
    </w:p>
    <w:p>
      <w:pPr>
        <w:pStyle w:val="Compact"/>
        <w:numPr>
          <w:ilvl w:val="1"/>
          <w:numId w:val="1028"/>
        </w:numPr>
      </w:pPr>
      <w:r>
        <w:t xml:space="preserve">Назначение официального представителя</w:t>
      </w:r>
    </w:p>
    <w:p>
      <w:pPr>
        <w:pStyle w:val="Compact"/>
        <w:numPr>
          <w:ilvl w:val="1"/>
          <w:numId w:val="1028"/>
        </w:numPr>
      </w:pPr>
      <w:r>
        <w:t xml:space="preserve">Подготовка заявлений для СМИ</w:t>
      </w:r>
    </w:p>
    <w:p>
      <w:pPr>
        <w:pStyle w:val="Compact"/>
        <w:numPr>
          <w:ilvl w:val="1"/>
          <w:numId w:val="1028"/>
        </w:numPr>
      </w:pPr>
      <w:r>
        <w:t xml:space="preserve">Коммуникация с ключевыми клиентами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Уведомление регулятивных органов</w:t>
      </w:r>
    </w:p>
    <w:p>
      <w:pPr>
        <w:pStyle w:val="Compact"/>
        <w:numPr>
          <w:ilvl w:val="1"/>
          <w:numId w:val="1029"/>
        </w:numPr>
      </w:pPr>
      <w:r>
        <w:t xml:space="preserve">GDPR: уведомление в течение 72 часов</w:t>
      </w:r>
    </w:p>
    <w:p>
      <w:pPr>
        <w:pStyle w:val="Compact"/>
        <w:numPr>
          <w:ilvl w:val="1"/>
          <w:numId w:val="1029"/>
        </w:numPr>
      </w:pPr>
      <w:r>
        <w:t xml:space="preserve">Местные регуляторы по защите данных</w:t>
      </w:r>
    </w:p>
    <w:p>
      <w:pPr>
        <w:pStyle w:val="Compact"/>
        <w:numPr>
          <w:ilvl w:val="1"/>
          <w:numId w:val="1029"/>
        </w:numPr>
      </w:pPr>
      <w:r>
        <w:t xml:space="preserve">Отраслевые надзорные органы</w:t>
      </w:r>
    </w:p>
    <w:bookmarkEnd w:id="37"/>
    <w:bookmarkStart w:id="38" w:name="Xb77796488c7315b83c11a44d02f160f5fcbc265"/>
    <w:p>
      <w:pPr>
        <w:pStyle w:val="Heading2"/>
      </w:pPr>
      <w:r>
        <w:t xml:space="preserve">Стратегические решения (требуют одобрения в течение 2 недель)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Утверждение трехфазного плана инвестиций</w:t>
      </w:r>
    </w:p>
    <w:p>
      <w:pPr>
        <w:pStyle w:val="Compact"/>
        <w:numPr>
          <w:ilvl w:val="1"/>
          <w:numId w:val="1031"/>
        </w:numPr>
      </w:pPr>
      <w:r>
        <w:t xml:space="preserve">Общий бюджет: $950,000</w:t>
      </w:r>
    </w:p>
    <w:p>
      <w:pPr>
        <w:pStyle w:val="Compact"/>
        <w:numPr>
          <w:ilvl w:val="1"/>
          <w:numId w:val="1031"/>
        </w:numPr>
      </w:pPr>
      <w:r>
        <w:t xml:space="preserve">Ожидаемый ROI: 253% в первый год</w:t>
      </w:r>
    </w:p>
    <w:p>
      <w:pPr>
        <w:pStyle w:val="Compact"/>
        <w:numPr>
          <w:ilvl w:val="1"/>
          <w:numId w:val="1031"/>
        </w:numPr>
      </w:pPr>
      <w:r>
        <w:t xml:space="preserve">Срок окупаемости: 5 месяцев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Создание должности CISO</w:t>
      </w:r>
    </w:p>
    <w:p>
      <w:pPr>
        <w:pStyle w:val="Compact"/>
        <w:numPr>
          <w:ilvl w:val="1"/>
          <w:numId w:val="1032"/>
        </w:numPr>
      </w:pPr>
      <w:r>
        <w:t xml:space="preserve">Зарплатный бюджет:</w:t>
      </w:r>
      <w:r>
        <w:t xml:space="preserve"> </w:t>
      </w:r>
      <m:oMath>
        <m:r>
          <m:t>200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</m:oMath>
      <w:r>
        <w:t xml:space="preserve">300,000/год</w:t>
      </w:r>
    </w:p>
    <w:p>
      <w:pPr>
        <w:pStyle w:val="Compact"/>
        <w:numPr>
          <w:ilvl w:val="1"/>
          <w:numId w:val="1032"/>
        </w:numPr>
      </w:pPr>
      <w:r>
        <w:t xml:space="preserve">Полномочия на уровне C-suite</w:t>
      </w:r>
    </w:p>
    <w:p>
      <w:pPr>
        <w:pStyle w:val="Compact"/>
        <w:numPr>
          <w:ilvl w:val="1"/>
          <w:numId w:val="1032"/>
        </w:numPr>
      </w:pPr>
      <w:r>
        <w:t xml:space="preserve">Прямая отчетность CEO и совету директоров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Пересмотр стратегии управления рисками</w:t>
      </w:r>
    </w:p>
    <w:p>
      <w:pPr>
        <w:pStyle w:val="Compact"/>
        <w:numPr>
          <w:ilvl w:val="1"/>
          <w:numId w:val="1033"/>
        </w:numPr>
      </w:pPr>
      <w:r>
        <w:t xml:space="preserve">Включение кибербезопасности в корпоративную стратегию</w:t>
      </w:r>
    </w:p>
    <w:p>
      <w:pPr>
        <w:pStyle w:val="Compact"/>
        <w:numPr>
          <w:ilvl w:val="1"/>
          <w:numId w:val="1033"/>
        </w:numPr>
      </w:pPr>
      <w:r>
        <w:t xml:space="preserve">Регулярные аудиты и оценки рисков</w:t>
      </w:r>
    </w:p>
    <w:p>
      <w:pPr>
        <w:pStyle w:val="Compact"/>
        <w:numPr>
          <w:ilvl w:val="1"/>
          <w:numId w:val="1033"/>
        </w:numPr>
      </w:pPr>
      <w:r>
        <w:t xml:space="preserve">Программа обучения для всех сотрудников</w:t>
      </w:r>
    </w:p>
    <w:bookmarkEnd w:id="38"/>
    <w:bookmarkStart w:id="39" w:name="X77ba9a2e6afad4bf72101d62bf1749c1ef41e60"/>
    <w:p>
      <w:pPr>
        <w:pStyle w:val="Heading2"/>
      </w:pPr>
      <w:r>
        <w:t xml:space="preserve">Долгосрочные инициативы (планирование на 2026 год)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Цифровая трансформация безопасности</w:t>
      </w:r>
    </w:p>
    <w:p>
      <w:pPr>
        <w:pStyle w:val="Compact"/>
        <w:numPr>
          <w:ilvl w:val="1"/>
          <w:numId w:val="1035"/>
        </w:numPr>
      </w:pPr>
      <w:r>
        <w:t xml:space="preserve">Внедрение Zero Trust архитектуры</w:t>
      </w:r>
    </w:p>
    <w:p>
      <w:pPr>
        <w:pStyle w:val="Compact"/>
        <w:numPr>
          <w:ilvl w:val="1"/>
          <w:numId w:val="1035"/>
        </w:numPr>
      </w:pPr>
      <w:r>
        <w:t xml:space="preserve">Автоматизация процессов безопасности</w:t>
      </w:r>
    </w:p>
    <w:p>
      <w:pPr>
        <w:pStyle w:val="Compact"/>
        <w:numPr>
          <w:ilvl w:val="1"/>
          <w:numId w:val="1035"/>
        </w:numPr>
      </w:pPr>
      <w:r>
        <w:t xml:space="preserve">Интеграция с облачными сервисами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Программа непрерывного совершенствования</w:t>
      </w:r>
    </w:p>
    <w:p>
      <w:pPr>
        <w:pStyle w:val="Compact"/>
        <w:numPr>
          <w:ilvl w:val="1"/>
          <w:numId w:val="1036"/>
        </w:numPr>
      </w:pPr>
      <w:r>
        <w:t xml:space="preserve">Ежегодные пентесты и аудиты</w:t>
      </w:r>
    </w:p>
    <w:p>
      <w:pPr>
        <w:pStyle w:val="Compact"/>
        <w:numPr>
          <w:ilvl w:val="1"/>
          <w:numId w:val="1036"/>
        </w:numPr>
      </w:pPr>
      <w:r>
        <w:t xml:space="preserve">Участие в отраслевых инициативах</w:t>
      </w:r>
    </w:p>
    <w:p>
      <w:pPr>
        <w:pStyle w:val="Compact"/>
        <w:numPr>
          <w:ilvl w:val="1"/>
          <w:numId w:val="1036"/>
        </w:numPr>
      </w:pPr>
      <w:r>
        <w:t xml:space="preserve">Обмен информацией об угрозах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Развитие экосистемы безопасности</w:t>
      </w:r>
    </w:p>
    <w:p>
      <w:pPr>
        <w:pStyle w:val="Compact"/>
        <w:numPr>
          <w:ilvl w:val="1"/>
          <w:numId w:val="1037"/>
        </w:numPr>
      </w:pPr>
      <w:r>
        <w:t xml:space="preserve">Партнерства с поставщиками безопасности</w:t>
      </w:r>
    </w:p>
    <w:p>
      <w:pPr>
        <w:pStyle w:val="Compact"/>
        <w:numPr>
          <w:ilvl w:val="1"/>
          <w:numId w:val="1037"/>
        </w:numPr>
      </w:pPr>
      <w:r>
        <w:t xml:space="preserve">Участие в отраслевых консорциумах</w:t>
      </w:r>
    </w:p>
    <w:p>
      <w:pPr>
        <w:pStyle w:val="Compact"/>
        <w:numPr>
          <w:ilvl w:val="1"/>
          <w:numId w:val="1037"/>
        </w:numPr>
      </w:pPr>
      <w:r>
        <w:t xml:space="preserve">Инвестиции в R&amp;D</w:t>
      </w:r>
    </w:p>
    <w:bookmarkEnd w:id="39"/>
    <w:bookmarkEnd w:id="40"/>
    <w:bookmarkStart w:id="45" w:name="заключение-и-следующие-шаги"/>
    <w:p>
      <w:pPr>
        <w:pStyle w:val="Heading1"/>
      </w:pPr>
      <w:r>
        <w:t xml:space="preserve">Заключение и следующие шаги</w:t>
      </w:r>
    </w:p>
    <w:bookmarkStart w:id="41" w:name="критичность-ситуации"/>
    <w:p>
      <w:pPr>
        <w:pStyle w:val="Heading2"/>
      </w:pPr>
      <w:r>
        <w:t xml:space="preserve">Критичность ситуации</w:t>
      </w:r>
    </w:p>
    <w:p>
      <w:pPr>
        <w:pStyle w:val="FirstParagraph"/>
      </w:pPr>
      <w:r>
        <w:t xml:space="preserve">Текущее состояние кибербезопасности компании представляет</w:t>
      </w:r>
      <w:r>
        <w:t xml:space="preserve"> </w:t>
      </w:r>
      <w:r>
        <w:rPr>
          <w:b/>
          <w:bCs/>
        </w:rPr>
        <w:t xml:space="preserve">неприемлемый уровень риска</w:t>
      </w:r>
      <w:r>
        <w:t xml:space="preserve"> </w:t>
      </w:r>
      <w:r>
        <w:t xml:space="preserve">для бизнеса. Выявленные уязвимости могут привести к: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Финансовым потерям до $25 млн</w:t>
      </w:r>
      <w:r>
        <w:t xml:space="preserve"> </w:t>
      </w:r>
      <w:r>
        <w:t xml:space="preserve">в случае серьезного инцидента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Регулятивным штрафам до €20 млн</w:t>
      </w:r>
      <w:r>
        <w:t xml:space="preserve"> </w:t>
      </w:r>
      <w:r>
        <w:t xml:space="preserve">за нарушение GDPR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Необратимому репутационному ущербу</w:t>
      </w:r>
      <w:r>
        <w:t xml:space="preserve"> </w:t>
      </w:r>
      <w:r>
        <w:t xml:space="preserve">и потере конкурентных позиций</w:t>
      </w:r>
    </w:p>
    <w:bookmarkEnd w:id="41"/>
    <w:bookmarkStart w:id="42" w:name="возможности-для-бизнеса"/>
    <w:p>
      <w:pPr>
        <w:pStyle w:val="Heading2"/>
      </w:pPr>
      <w:r>
        <w:t xml:space="preserve">Возможности для бизнеса</w:t>
      </w:r>
    </w:p>
    <w:p>
      <w:pPr>
        <w:pStyle w:val="FirstParagraph"/>
      </w:pPr>
      <w:r>
        <w:t xml:space="preserve">Инвестиции в кибербезопасность создают значительные возможности: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ROI 253%</w:t>
      </w:r>
      <w:r>
        <w:t xml:space="preserve"> </w:t>
      </w:r>
      <w:r>
        <w:t xml:space="preserve">в первый год реализации программы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Конкурентное преимущество</w:t>
      </w:r>
      <w:r>
        <w:t xml:space="preserve"> </w:t>
      </w:r>
      <w:r>
        <w:t xml:space="preserve">через сертификацию безопасности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Доступ к новым рынкам</w:t>
      </w:r>
      <w:r>
        <w:t xml:space="preserve"> </w:t>
      </w:r>
      <w:r>
        <w:t xml:space="preserve">с высокими требованиями к безопасности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Снижение операционных рисков</w:t>
      </w:r>
      <w:r>
        <w:t xml:space="preserve"> </w:t>
      </w:r>
      <w:r>
        <w:t xml:space="preserve">и повышение эффективности</w:t>
      </w:r>
    </w:p>
    <w:bookmarkEnd w:id="42"/>
    <w:bookmarkStart w:id="43" w:name="рекомендуемые-действия-совета-директоров"/>
    <w:p>
      <w:pPr>
        <w:pStyle w:val="Heading2"/>
      </w:pPr>
      <w:r>
        <w:t xml:space="preserve">Рекомендуемые действия совета директоров</w:t>
      </w:r>
    </w:p>
    <w:p>
      <w:pPr>
        <w:pStyle w:val="FirstParagraph"/>
      </w:pPr>
      <w:r>
        <w:rPr>
          <w:b/>
          <w:bCs/>
        </w:rPr>
        <w:t xml:space="preserve">В течение 24 часов:</w:t>
      </w:r>
    </w:p>
    <w:p>
      <w:pPr>
        <w:pStyle w:val="Compact"/>
        <w:numPr>
          <w:ilvl w:val="0"/>
          <w:numId w:val="1040"/>
        </w:numPr>
      </w:pPr>
      <w:r>
        <w:t xml:space="preserve">Одобрить экстренный бюджет $150,000</w:t>
      </w:r>
    </w:p>
    <w:p>
      <w:pPr>
        <w:pStyle w:val="Compact"/>
        <w:numPr>
          <w:ilvl w:val="0"/>
          <w:numId w:val="1040"/>
        </w:numPr>
      </w:pPr>
      <w:r>
        <w:t xml:space="preserve">Назначить ответственного за кризисное управление</w:t>
      </w:r>
    </w:p>
    <w:p>
      <w:pPr>
        <w:pStyle w:val="Compact"/>
        <w:numPr>
          <w:ilvl w:val="0"/>
          <w:numId w:val="1040"/>
        </w:numPr>
      </w:pPr>
      <w:r>
        <w:t xml:space="preserve">Активировать план коммуникаций с заинтересованными сторонами</w:t>
      </w:r>
    </w:p>
    <w:p>
      <w:pPr>
        <w:pStyle w:val="FirstParagraph"/>
      </w:pPr>
      <w:r>
        <w:rPr>
          <w:b/>
          <w:bCs/>
        </w:rPr>
        <w:t xml:space="preserve">В течение 2 недель:</w:t>
      </w:r>
    </w:p>
    <w:p>
      <w:pPr>
        <w:pStyle w:val="Compact"/>
        <w:numPr>
          <w:ilvl w:val="0"/>
          <w:numId w:val="1041"/>
        </w:numPr>
      </w:pPr>
      <w:r>
        <w:t xml:space="preserve">Утвердить трехфазную программу инвестиций ($950,000)</w:t>
      </w:r>
    </w:p>
    <w:p>
      <w:pPr>
        <w:pStyle w:val="Compact"/>
        <w:numPr>
          <w:ilvl w:val="0"/>
          <w:numId w:val="1041"/>
        </w:numPr>
      </w:pPr>
      <w:r>
        <w:t xml:space="preserve">Инициировать поиск и найм CISO</w:t>
      </w:r>
    </w:p>
    <w:p>
      <w:pPr>
        <w:pStyle w:val="Compact"/>
        <w:numPr>
          <w:ilvl w:val="0"/>
          <w:numId w:val="1041"/>
        </w:numPr>
      </w:pPr>
      <w:r>
        <w:t xml:space="preserve">Создать подкомитет по кибербезопасности при совете директоров</w:t>
      </w:r>
    </w:p>
    <w:p>
      <w:pPr>
        <w:pStyle w:val="FirstParagraph"/>
      </w:pPr>
      <w:r>
        <w:rPr>
          <w:b/>
          <w:bCs/>
        </w:rPr>
        <w:t xml:space="preserve">В течение 3 месяцев:</w:t>
      </w:r>
    </w:p>
    <w:p>
      <w:pPr>
        <w:pStyle w:val="Compact"/>
        <w:numPr>
          <w:ilvl w:val="0"/>
          <w:numId w:val="1042"/>
        </w:numPr>
      </w:pPr>
      <w:r>
        <w:t xml:space="preserve">Завершить Фазу 1 и начать Фазу 2 программы</w:t>
      </w:r>
    </w:p>
    <w:p>
      <w:pPr>
        <w:pStyle w:val="Compact"/>
        <w:numPr>
          <w:ilvl w:val="0"/>
          <w:numId w:val="1042"/>
        </w:numPr>
      </w:pPr>
      <w:r>
        <w:t xml:space="preserve">Внедрить систему регулярной отчетности по рискам</w:t>
      </w:r>
    </w:p>
    <w:p>
      <w:pPr>
        <w:pStyle w:val="Compact"/>
        <w:numPr>
          <w:ilvl w:val="0"/>
          <w:numId w:val="1042"/>
        </w:numPr>
      </w:pPr>
      <w:r>
        <w:t xml:space="preserve">Провести обучение совета директоров по вопросам кибербезопасности</w:t>
      </w:r>
    </w:p>
    <w:bookmarkEnd w:id="43"/>
    <w:bookmarkStart w:id="44" w:name="заключительное-слово"/>
    <w:p>
      <w:pPr>
        <w:pStyle w:val="Heading2"/>
      </w:pPr>
      <w:r>
        <w:t xml:space="preserve">Заключительное слово</w:t>
      </w:r>
    </w:p>
    <w:p>
      <w:pPr>
        <w:pStyle w:val="FirstParagraph"/>
      </w:pPr>
      <w:r>
        <w:t xml:space="preserve">Кибербезопасность больше не является только технической проблемой — это</w:t>
      </w:r>
      <w:r>
        <w:t xml:space="preserve"> </w:t>
      </w:r>
      <w:r>
        <w:rPr>
          <w:b/>
          <w:bCs/>
        </w:rPr>
        <w:t xml:space="preserve">стратегический бизнес-императив</w:t>
      </w:r>
      <w:r>
        <w:t xml:space="preserve">, требующий внимания и инвестиций на уровне совета директоров. Предлагаемая программа не только устранит текущие риски, но и создаст устойчивое конкурентное преимущество в цифровой экономике.</w:t>
      </w:r>
    </w:p>
    <w:p>
      <w:pPr>
        <w:pStyle w:val="BodyText"/>
      </w:pPr>
      <w:r>
        <w:rPr>
          <w:b/>
          <w:bCs/>
        </w:rPr>
        <w:t xml:space="preserve">Время для действий — сейчас.</w:t>
      </w:r>
      <w:r>
        <w:t xml:space="preserve"> </w:t>
      </w:r>
      <w:r>
        <w:t xml:space="preserve">Каждый день промедления увеличивает риски и потенциальные потери. Рекомендуется принять решение об утверждении программы на ближайшем заседании совета директоров.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>
      <w:pPr>
        <w:pStyle w:val="FirstParagraph"/>
      </w:pPr>
      <w:r>
        <w:rPr>
          <w:i/>
          <w:iCs/>
        </w:rPr>
        <w:t xml:space="preserve">Данный отчет подготовлен на основе комплексного аудита безопасности, проведенного с использованием ведущих отраслевых методологий и стандартов. Все рекомендации основаны на лучших практиках и актуальных исследованиях в области кибербезопасности.</w:t>
      </w:r>
    </w:p>
    <w:bookmarkEnd w:id="44"/>
    <w:bookmarkEnd w:id="45"/>
    <w:bookmarkStart w:id="49" w:name="приложения"/>
    <w:p>
      <w:pPr>
        <w:pStyle w:val="Heading1"/>
      </w:pPr>
      <w:r>
        <w:t xml:space="preserve">Приложения</w:t>
      </w:r>
    </w:p>
    <w:bookmarkStart w:id="46" w:name="X2580b3b95e07d02054b1621a17211d407556498"/>
    <w:p>
      <w:pPr>
        <w:pStyle w:val="Heading2"/>
      </w:pPr>
      <w:r>
        <w:t xml:space="preserve">Приложение A: Детальный анализ уязвимостей</w:t>
      </w:r>
    </w:p>
    <w:p>
      <w:pPr>
        <w:pStyle w:val="FirstParagraph"/>
      </w:pPr>
      <w:r>
        <w:rPr>
          <w:b/>
          <w:bCs/>
        </w:rPr>
        <w:t xml:space="preserve">Критические уязвимости (требуют немедленного устранения):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Утечка персональных данных через REST API</w:t>
      </w:r>
    </w:p>
    <w:p>
      <w:pPr>
        <w:pStyle w:val="Compact"/>
        <w:numPr>
          <w:ilvl w:val="1"/>
          <w:numId w:val="1044"/>
        </w:numPr>
      </w:pPr>
      <w:r>
        <w:t xml:space="preserve">CVSS Score: 9.1 (Критический)</w:t>
      </w:r>
    </w:p>
    <w:p>
      <w:pPr>
        <w:pStyle w:val="Compact"/>
        <w:numPr>
          <w:ilvl w:val="1"/>
          <w:numId w:val="1044"/>
        </w:numPr>
      </w:pPr>
      <w:r>
        <w:t xml:space="preserve">Затронуто: Все пользовательские аккаунты</w:t>
      </w:r>
    </w:p>
    <w:p>
      <w:pPr>
        <w:pStyle w:val="Compact"/>
        <w:numPr>
          <w:ilvl w:val="1"/>
          <w:numId w:val="1044"/>
        </w:numPr>
      </w:pPr>
      <w:r>
        <w:t xml:space="preserve">Потенциальный ущерб: €20 млн штрафа GDPR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Отсутствие базовых заголовков безопасности</w:t>
      </w:r>
    </w:p>
    <w:p>
      <w:pPr>
        <w:pStyle w:val="Compact"/>
        <w:numPr>
          <w:ilvl w:val="1"/>
          <w:numId w:val="1045"/>
        </w:numPr>
      </w:pPr>
      <w:r>
        <w:t xml:space="preserve">Риск: Clickjacking, XSS атаки</w:t>
      </w:r>
    </w:p>
    <w:p>
      <w:pPr>
        <w:pStyle w:val="Compact"/>
        <w:numPr>
          <w:ilvl w:val="1"/>
          <w:numId w:val="1045"/>
        </w:numPr>
      </w:pPr>
      <w:r>
        <w:t xml:space="preserve">Вероятность эксплуатации: 85%</w:t>
      </w:r>
    </w:p>
    <w:p>
      <w:pPr>
        <w:pStyle w:val="Compact"/>
        <w:numPr>
          <w:ilvl w:val="1"/>
          <w:numId w:val="1045"/>
        </w:numPr>
      </w:pPr>
      <w:r>
        <w:t xml:space="preserve">Стоимость устранения: $5,000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Небезопасная загрузка внешних ресурсов</w:t>
      </w:r>
    </w:p>
    <w:p>
      <w:pPr>
        <w:pStyle w:val="Compact"/>
        <w:numPr>
          <w:ilvl w:val="1"/>
          <w:numId w:val="1046"/>
        </w:numPr>
      </w:pPr>
      <w:r>
        <w:t xml:space="preserve">Риск: Supply chain атаки</w:t>
      </w:r>
    </w:p>
    <w:p>
      <w:pPr>
        <w:pStyle w:val="Compact"/>
        <w:numPr>
          <w:ilvl w:val="1"/>
          <w:numId w:val="1046"/>
        </w:numPr>
      </w:pPr>
      <w:r>
        <w:t xml:space="preserve">Потенциальный ущерб: Компрометация всего сайта</w:t>
      </w:r>
    </w:p>
    <w:p>
      <w:pPr>
        <w:pStyle w:val="Compact"/>
        <w:numPr>
          <w:ilvl w:val="1"/>
          <w:numId w:val="1046"/>
        </w:numPr>
      </w:pPr>
      <w:r>
        <w:t xml:space="preserve">Стоимость устранения: $15,000</w:t>
      </w:r>
    </w:p>
    <w:bookmarkEnd w:id="46"/>
    <w:bookmarkStart w:id="47" w:name="Xa7376e26a4b8b9f5253452d90faeee428fa2308"/>
    <w:p>
      <w:pPr>
        <w:pStyle w:val="Heading2"/>
      </w:pPr>
      <w:r>
        <w:t xml:space="preserve">Приложение B: Сравнительный анализ решений</w:t>
      </w:r>
    </w:p>
    <w:p>
      <w:pPr>
        <w:pStyle w:val="FirstParagraph"/>
      </w:pPr>
      <w:r>
        <w:rPr>
          <w:b/>
          <w:bCs/>
        </w:rPr>
        <w:t xml:space="preserve">Варианты поставщиков решений безопасности: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Поставщик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Функциональность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внедрения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CrowdStrike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$120,000/год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недели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SentinelOne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недели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Defender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$80,000/год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неделя</w:t>
            </w:r>
          </w:p>
        </w:tc>
      </w:tr>
    </w:tbl>
    <w:bookmarkEnd w:id="47"/>
    <w:bookmarkStart w:id="48" w:name="приложение-c-правовые-аспекты"/>
    <w:p>
      <w:pPr>
        <w:pStyle w:val="Heading2"/>
      </w:pPr>
      <w:r>
        <w:t xml:space="preserve">Приложение C: Правовые аспекты</w:t>
      </w:r>
    </w:p>
    <w:p>
      <w:pPr>
        <w:pStyle w:val="FirstParagraph"/>
      </w:pPr>
      <w:r>
        <w:rPr>
          <w:b/>
          <w:bCs/>
        </w:rPr>
        <w:t xml:space="preserve">Обязательства по уведомлению: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GDPR</w:t>
      </w:r>
      <w:r>
        <w:t xml:space="preserve">: 72 часа для уведомления регулятора, 30 дней для уведомления субъектов данных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CCPA</w:t>
      </w:r>
      <w:r>
        <w:t xml:space="preserve">: Без промедления после обнаружения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Отраслевые требования</w:t>
      </w:r>
      <w:r>
        <w:t xml:space="preserve">: Зависят от сектора деятельности</w:t>
      </w:r>
    </w:p>
    <w:p>
      <w:pPr>
        <w:pStyle w:val="FirstParagraph"/>
      </w:pPr>
      <w:r>
        <w:rPr>
          <w:b/>
          <w:bCs/>
        </w:rPr>
        <w:t xml:space="preserve">Рекомендуемые юридические фирмы:</w:t>
      </w:r>
    </w:p>
    <w:p>
      <w:pPr>
        <w:pStyle w:val="Compact"/>
        <w:numPr>
          <w:ilvl w:val="0"/>
          <w:numId w:val="1048"/>
        </w:numPr>
      </w:pPr>
      <w:r>
        <w:t xml:space="preserve">Специализация на кибербезопасности и защите данных</w:t>
      </w:r>
    </w:p>
    <w:p>
      <w:pPr>
        <w:pStyle w:val="Compact"/>
        <w:numPr>
          <w:ilvl w:val="0"/>
          <w:numId w:val="1048"/>
        </w:numPr>
      </w:pPr>
      <w:r>
        <w:t xml:space="preserve">Опыт работы с регуляторами</w:t>
      </w:r>
    </w:p>
    <w:p>
      <w:pPr>
        <w:pStyle w:val="Compact"/>
        <w:numPr>
          <w:ilvl w:val="0"/>
          <w:numId w:val="1048"/>
        </w:numPr>
      </w:pPr>
      <w:r>
        <w:t xml:space="preserve">Международная практика</w:t>
      </w:r>
    </w:p>
    <w:bookmarkEnd w:id="48"/>
    <w:bookmarkEnd w:id="49"/>
    <w:bookmarkStart w:id="50" w:name="контактная-информация"/>
    <w:p>
      <w:pPr>
        <w:pStyle w:val="Heading1"/>
      </w:pPr>
      <w:r>
        <w:t xml:space="preserve">Контактная информация</w:t>
      </w:r>
    </w:p>
    <w:p>
      <w:pPr>
        <w:pStyle w:val="FirstParagraph"/>
      </w:pPr>
      <w:r>
        <w:rPr>
          <w:b/>
          <w:bCs/>
        </w:rPr>
        <w:t xml:space="preserve">Для экстренных вопросов:</w:t>
      </w:r>
    </w:p>
    <w:p>
      <w:pPr>
        <w:pStyle w:val="Compact"/>
        <w:numPr>
          <w:ilvl w:val="0"/>
          <w:numId w:val="1049"/>
        </w:numPr>
      </w:pPr>
      <w:r>
        <w:t xml:space="preserve">Директор по информационной безопасности: [контакты]</w:t>
      </w:r>
    </w:p>
    <w:p>
      <w:pPr>
        <w:pStyle w:val="Compact"/>
        <w:numPr>
          <w:ilvl w:val="0"/>
          <w:numId w:val="1049"/>
        </w:numPr>
      </w:pPr>
      <w:r>
        <w:t xml:space="preserve">Внешний консультант по кибербезопасности: [контакты]</w:t>
      </w:r>
    </w:p>
    <w:p>
      <w:pPr>
        <w:pStyle w:val="Compact"/>
        <w:numPr>
          <w:ilvl w:val="0"/>
          <w:numId w:val="1049"/>
        </w:numPr>
      </w:pPr>
      <w:r>
        <w:t xml:space="preserve">Юридический консультант: [контакты]</w:t>
      </w:r>
    </w:p>
    <w:p>
      <w:pPr>
        <w:pStyle w:val="FirstParagraph"/>
      </w:pPr>
      <w:r>
        <w:rPr>
          <w:b/>
          <w:bCs/>
        </w:rPr>
        <w:t xml:space="preserve">Для стратегических вопросов:</w:t>
      </w:r>
    </w:p>
    <w:p>
      <w:pPr>
        <w:pStyle w:val="Compact"/>
        <w:numPr>
          <w:ilvl w:val="0"/>
          <w:numId w:val="1050"/>
        </w:numPr>
      </w:pPr>
      <w:r>
        <w:t xml:space="preserve">Комитет по рискам и аудиту: [контакты]</w:t>
      </w:r>
    </w:p>
    <w:p>
      <w:pPr>
        <w:pStyle w:val="Compact"/>
        <w:numPr>
          <w:ilvl w:val="0"/>
          <w:numId w:val="1050"/>
        </w:numPr>
      </w:pPr>
      <w:r>
        <w:t xml:space="preserve">Исполнительный секретарь совета директоров: [контакты]</w:t>
      </w:r>
    </w:p>
    <w:bookmarkEnd w:id="50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990">
    <w:multiLevelType w:val="multilevel"/>
    <w:nsid w:val="0000A990"/>
    <w:lvl w:ilvl="0">
      <w:lvlJc w:val="left"/>
      <w:lvlText w:val=" "/>
      <w:numFmt w:val="bullet"/>
      <w:pPr>
        <w:ind w:hanging="480" w:left="720"/>
      </w:pPr>
    </w:lvl>
    <w:lvl w:ilvl="1">
      <w:lvlJc w:val="left"/>
      <w:lvlText w:val=" "/>
      <w:numFmt w:val="bullet"/>
      <w:pPr>
        <w:ind w:hanging="480" w:left="1440"/>
      </w:pPr>
    </w:lvl>
    <w:lvl w:ilvl="2">
      <w:lvlJc w:val="left"/>
      <w:lvlText w:val=" "/>
      <w:numFmt w:val="bullet"/>
      <w:pPr>
        <w:ind w:hanging="480" w:left="2160"/>
      </w:pPr>
    </w:lvl>
    <w:lvl w:ilvl="3">
      <w:lvlJc w:val="left"/>
      <w:lvlText w:val=" "/>
      <w:numFmt w:val="bullet"/>
      <w:pPr>
        <w:ind w:hanging="480" w:left="2880"/>
      </w:pPr>
    </w:lvl>
    <w:lvl w:ilvl="4">
      <w:lvlJc w:val="left"/>
      <w:lvlText w:val=" "/>
      <w:numFmt w:val="bullet"/>
      <w:pPr>
        <w:ind w:hanging="480" w:left="3600"/>
      </w:pPr>
    </w:lvl>
    <w:lvl w:ilvl="5">
      <w:lvlJc w:val="left"/>
      <w:lvlText w:val=" "/>
      <w:numFmt w:val="bullet"/>
      <w:pPr>
        <w:ind w:hanging="480" w:left="4320"/>
      </w:pPr>
    </w:lvl>
    <w:lvl w:ilvl="6">
      <w:lvlJc w:val="left"/>
      <w:lvlText w:val=" "/>
      <w:numFmt w:val="bullet"/>
      <w:pPr>
        <w:ind w:hanging="480" w:left="5040"/>
      </w:pPr>
    </w:lvl>
    <w:lvl w:ilvl="7">
      <w:lvlJc w:val="left"/>
      <w:lvlText w:val=" "/>
      <w:numFmt w:val="bullet"/>
      <w:pPr>
        <w:ind w:hanging="480" w:left="5760"/>
      </w:pPr>
    </w:lvl>
    <w:lvl w:ilvl="8">
      <w:lvlJc w:val="left"/>
      <w:lvlText w:val=" "/>
      <w:numFmt w:val="bullet"/>
      <w:pPr>
        <w:ind w:hanging="480" w:left="6480"/>
      </w:pPr>
    </w:lvl>
  </w:abstractNum>
  <w:abstractNum w:abstractNumId="991">
    <w:multiLevelType w:val="multilevel"/>
    <w:nsid w:val="0000A991"/>
    <w:lvl w:ilvl="0">
      <w:lvlJc w:val="left"/>
      <w:lvlText w:val="•"/>
      <w:numFmt w:val="bullet"/>
      <w:pPr>
        <w:ind w:hanging="480" w:left="720"/>
      </w:pPr>
    </w:lvl>
    <w:lvl w:ilvl="1">
      <w:lvlJc w:val="left"/>
      <w:lvlText w:val="–"/>
      <w:numFmt w:val="bullet"/>
      <w:pPr>
        <w:ind w:hanging="480" w:left="1440"/>
      </w:pPr>
    </w:lvl>
    <w:lvl w:ilvl="2">
      <w:lvlJc w:val="left"/>
      <w:lvlText w:val="•"/>
      <w:numFmt w:val="bullet"/>
      <w:pPr>
        <w:ind w:hanging="480" w:left="2160"/>
      </w:pPr>
    </w:lvl>
    <w:lvl w:ilvl="3">
      <w:lvlJc w:val="left"/>
      <w:lvlText w:val="–"/>
      <w:numFmt w:val="bullet"/>
      <w:pPr>
        <w:ind w:hanging="480" w:left="2880"/>
      </w:pPr>
    </w:lvl>
    <w:lvl w:ilvl="4">
      <w:lvlJc w:val="left"/>
      <w:lvlText w:val="•"/>
      <w:numFmt w:val="bullet"/>
      <w:pPr>
        <w:ind w:hanging="480" w:left="3600"/>
      </w:pPr>
    </w:lvl>
    <w:lvl w:ilvl="5">
      <w:lvlJc w:val="left"/>
      <w:lvlText w:val="–"/>
      <w:numFmt w:val="bullet"/>
      <w:pPr>
        <w:ind w:hanging="480" w:left="4320"/>
      </w:pPr>
    </w:lvl>
    <w:lvl w:ilvl="6">
      <w:lvlJc w:val="left"/>
      <w:lvlText w:val="•"/>
      <w:numFmt w:val="bullet"/>
      <w:pPr>
        <w:ind w:hanging="480" w:left="5040"/>
      </w:pPr>
    </w:lvl>
    <w:lvl w:ilvl="7">
      <w:lvlJc w:val="left"/>
      <w:lvlText w:val="–"/>
      <w:numFmt w:val="bullet"/>
      <w:pPr>
        <w:ind w:hanging="480" w:left="5760"/>
      </w:pPr>
    </w:lvl>
    <w:lvl w:ilvl="8">
      <w:lvlJc w:val="left"/>
      <w:lvlText w:val="•"/>
      <w:numFmt w:val="bullet"/>
      <w:pPr>
        <w:ind w:hanging="480" w:left="6480"/>
      </w:pPr>
    </w:lvl>
  </w:abstractNum>
  <w:abstractNum w:abstractNumId="99411">
    <w:multiLevelType w:val="multilevel"/>
    <w:nsid w:val="00A99411"/>
    <w:lvl w:ilvl="0">
      <w:lvlJc w:val="left"/>
      <w:lvlText w:val="%1."/>
      <w:numFmt w:val="decimal"/>
      <w:pPr>
        <w:ind w:hanging="480" w:left="720"/>
      </w:pPr>
      <w:start w:val="1"/>
    </w:lvl>
    <w:lvl w:ilvl="1">
      <w:lvlJc w:val="left"/>
      <w:lvlText w:val="%2."/>
      <w:numFmt w:val="decimal"/>
      <w:pPr>
        <w:ind w:hanging="480" w:left="1440"/>
      </w:pPr>
      <w:start w:val="1"/>
    </w:lvl>
    <w:lvl w:ilvl="2">
      <w:lvlJc w:val="left"/>
      <w:lvlText w:val="%3."/>
      <w:numFmt w:val="decimal"/>
      <w:pPr>
        <w:ind w:hanging="480" w:left="2160"/>
      </w:pPr>
      <w:start w:val="1"/>
    </w:lvl>
    <w:lvl w:ilvl="3">
      <w:lvlJc w:val="left"/>
      <w:lvlText w:val="%4."/>
      <w:numFmt w:val="decimal"/>
      <w:pPr>
        <w:ind w:hanging="480" w:left="2880"/>
      </w:pPr>
      <w:start w:val="1"/>
    </w:lvl>
    <w:lvl w:ilvl="4">
      <w:lvlJc w:val="left"/>
      <w:lvlText w:val="%5."/>
      <w:numFmt w:val="decimal"/>
      <w:pPr>
        <w:ind w:hanging="480" w:left="3600"/>
      </w:pPr>
      <w:start w:val="1"/>
    </w:lvl>
    <w:lvl w:ilvl="5">
      <w:lvlJc w:val="left"/>
      <w:lvlText w:val="%6."/>
      <w:numFmt w:val="decimal"/>
      <w:pPr>
        <w:ind w:hanging="480" w:left="4320"/>
      </w:pPr>
      <w:start w:val="1"/>
    </w:lvl>
    <w:lvl w:ilvl="6">
      <w:lvlJc w:val="left"/>
      <w:lvlText w:val="%7."/>
      <w:numFmt w:val="decimal"/>
      <w:pPr>
        <w:ind w:hanging="480" w:left="5040"/>
      </w:pPr>
      <w:start w:val="1"/>
    </w:lvl>
    <w:lvl w:ilvl="7">
      <w:lvlJc w:val="left"/>
      <w:lvlText w:val="%8."/>
      <w:numFmt w:val="decimal"/>
      <w:pPr>
        <w:ind w:hanging="480" w:left="5760"/>
      </w:pPr>
      <w:start w:val="1"/>
    </w:lvl>
    <w:lvl w:ilvl="8">
      <w:lvlJc w:val="left"/>
      <w:lvlText w:val="%9."/>
      <w:numFmt w:val="decimal"/>
      <w:pPr>
        <w:ind w:hanging="480" w:left="6480"/>
      </w:pPr>
      <w:start w:val="1"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after="36" w:before="36"/>
    </w:pPr>
  </w:style>
  <w:style w:type="paragraph" w:styleId="Title">
    <w:name w:val="Title"/>
    <w:basedOn w:val="Normal"/>
    <w:next w:val="BodyText"/>
    <w:qFormat/>
    <w:pPr>
      <w:keepNext w:val="true"/>
      <w:keepLines w:val="true"/>
      <w:spacing w:after="240" w:before="48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 w:val="true"/>
      <w:spacing w:after="240" w:before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 w:val="true"/>
      <w:jc w:val="center"/>
    </w:pPr>
  </w:style>
  <w:style w:type="paragraph" w:styleId="Date">
    <w:name w:val="Date"/>
    <w:next w:val="BodyText"/>
    <w:qFormat/>
    <w:pPr>
      <w:keepNext w:val="true"/>
      <w:keepLines w:val="true"/>
      <w:jc w:val="center"/>
    </w:pPr>
  </w:style>
  <w:style w:type="paragraph" w:styleId="AbstractTitle" w:customStyle="1">
    <w:name w:val="Abstract Title"/>
    <w:basedOn w:val="Normal"/>
    <w:next w:val="Abstract"/>
    <w:qFormat/>
    <w:pPr>
      <w:keepNext w:val="true"/>
      <w:keepLines w:val="true"/>
      <w:spacing w:after="0" w:before="30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 w:val="true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</w:style>
  <w:style w:type="paragraph" w:styleId="Heading1">
    <w:name w:val="Heading 1"/>
    <w:basedOn w:val="Normal"/>
    <w:next w:val="BodyText"/>
    <w:uiPriority w:val="9"/>
    <w:qFormat/>
    <w:pPr>
      <w:keepNext w:val="true"/>
      <w:keepLines w:val="true"/>
      <w:spacing w:after="0" w:before="48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after="100" w:before="100"/>
      <w:ind w:right="480" w:firstLine="0" w:lef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after="100" w:before="100"/>
      <w:ind w:right="480" w:firstLine="0" w:left="48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firstRow">
      <w:tblPr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true"/>
      <w:keepLines w:val="true"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/>
    </w:rPr>
  </w:style>
  <w:style w:type="paragraph" w:styleId="TableCaption" w:customStyle="1">
    <w:name w:val="Table Caption"/>
    <w:basedOn w:val="Caption"/>
    <w:pPr>
      <w:keepNext w:val="true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true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/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475</Characters>
  <CharactersWithSpaces>583</CharactersWithSpaces>
  <Application>ONLYOFFICE/9.2.1.43</Application>
  <DocSecurity>0</DocSecurity>
  <Lines>12</Lines>
  <Paragraphs>8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Стратегический отчет по кибербезопасности: Критические риски и управленческие решения</dc:title>
  <dc:creator>Директор по информационной безопасности</dc:creator>
  <cp:keywords/>
  <dcterms:created xsi:type="dcterms:W3CDTF">2026-01-02T11:16:50Z</dcterms:created>
  <dcterms:modified xsi:type="dcterms:W3CDTF">2026-01-02T11:16:50Z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2026-01-02</vt:lpwstr>
  </property>
</Properties>
</file>