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Диагноз направившей организации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C-r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мочевого пузыря Диагноз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клинический заключительный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основной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C67.2 (75120) C-r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мочевого пузыря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T1NxMx.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Верифицирован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Трансуретральной резекции опухоли мочевого пузыря с внутрипузырной химиотерапией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11.06.2019.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Контрольная цистоскопия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20.05.2021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Сопутствующие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Артериальная гипертония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 повышения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ССО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Атеросклеротический кардиосклероз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ХСН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умеренный дискомфорт в уретре Анамнез болезни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году Обратился к урологу в клинику функциональных нарушений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 при УЗИ мочевого пузыря выявлено экзофитное образование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 слабым смешанным кровотоком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ТРУЗИ предстательной железы контуры четкие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ровные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объем предстательной железы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*3,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эхоструктура неоднородная за счет мелких кальцинатов диффузно расположенных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госпитализирован в урологическое отделение НКЦ ОАО РЖД в сентябре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выполнена трансуретальная резекция опухоли мочевого пузыря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аденомы предстательной железы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28.09.2016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гистологического заключения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неинвазивная папиллярная уротелиальная карцинома мочевого пузыря низкой степени дифференцировки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октябре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августе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 контрольная цистоскопия по данным которой признаков рецидива опухоли мочевого пузыря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 выписан с рекомендациями о повторной госпитализации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 для контрольной цистоскопии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Госпитализирован в урологическое отделение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была проведена 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выявлен рецидив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06.04.2018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ТУР стенки мочевого пузыря с опухолью с лазерной аблацией ложа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категории сложности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Коагуляция кровоточащих сосудов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в НУЗ НКЦ ОАО РЖД госпитализирован в урологическое отделение для контрольной цистоскопии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результатам которой получены данные о рецидиве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госпитализируется для проведения оперативного вмешательства в плановом порядке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после трансуретральной видеорезекции стенки мочевого пузыря с применением химиопрепарата от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23.10.2018. 05.06.2019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 выполнена диагностическая уретроцистоскопия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данным которой в области шейки мочевого пузыря на передне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левобоковой стенке визуализируется стелящееся образование размерами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Обратился в НУЗ НКЦ ОАО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РЖД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настоящее время госпитализирован в урологическое отделение для оперативного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Пациенту выполнена трансуретральная видеорезекция стенки мочевого пузыря с внутрипузырным введением химиопрепарата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послеоперационный период гладкий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был выписан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21.01.2020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контрольная 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результатам которой данных за рециди не получено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апрель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рецидива не обнаружено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Данная госпитализация для проведения контрольной цистоскоии Страховой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Пенсионер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БЛ не требуется Перенесенные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RW,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гепатиты ВС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ВИЧ отрицает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ОРВИ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простудные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Гипертоническая болезнь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стадии Артериальная гипертония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степени повышения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 ССО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средний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ИБС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Атеросклеротический кардиосклероз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ХСН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Перенесенные 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ТУР простаты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ТУР стенки мочевого пузыря с опухолью в сентябре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06.2019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Контрольные цистоскопии октябрь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март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август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2017,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апрель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октябрь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2018,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январь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апрель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2020.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Аллергологический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отягощен Статус при поступлении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 Данные физического развития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 вес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85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кг индекс массы тела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32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относительно удовлетворительное Телосложение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нормостеническое правильное Положение больного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активное Кожные покровы и слизистые оболочки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обычной окраски Высыпания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Периферические лимфоузлы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доступные пальпации не увеличены Костно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мышечная система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видимой патологии Периферические отеки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</w:t>
        <w:br/>
        <w:t xml:space="preserve">Органы дыхания Форма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правильная Частота дыхательных движений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равномерное Тип дыхания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смешанный </w:t>
        <w:br/>
        <w:t xml:space="preserve">Органы кровообращения Пульс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70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Характер пульса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симметричный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достаточного наполнения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ритмичный АД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правом плече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130 / 80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Органы пищеварения Глотание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затруднено Ротоглотка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гиперемии нет Язык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влажный не обложен Аускультация живота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перистальтика кишечника выслушивается Живот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безболезненный Печень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Свободная жидкость в брюшной полости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нет Селезенка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пальпируется </w:t>
        <w:br/>
        <w:t xml:space="preserve">Мочеполовая система Поясничная область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изменена Пальпация почек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пальпируются Поясничная область при поколачивании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безболезненная с обеих сторон Мочеиспускание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свободное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учащенное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безболезненное Наружные половые органы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без патологий </w:t>
        <w:br/>
        <w:t xml:space="preserve">Нейро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эндокринная система Объем движений и сила в конечностях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сохранены в полном объеме Суммарная доза лучевой нагрузки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0.520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мЗв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Консультация врача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терапевта первичная в стационаре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УРОЛОГ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Протокол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Жалобы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дискомфорт в поясничной области слева Анамнез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годупроведен операция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ТУР опухоли мочевого пузыря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Планируется проведение цистоскопии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также имели место эпизоды повышения Ддо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Около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лет назад и не исключался инфаркт миокарда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Объективные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состояние удовлетворительное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легких везикулярное дыхание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Тоны сердца ритмичны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приглушены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ЧСС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минуту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обследования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160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</w:t>
        <w:br/>
        <w:t xml:space="preserve">Назначения дополнительных назначений нет Заключение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ртериальня гипертония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аорты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бронхит вне обострения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Эмфизем легких </w:t>
        <w:br/>
        <w:t xml:space="preserve">Рекомендации Противопокзанийк проведению цистоскопии не выявлено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 ртериальня гипертония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степень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Атеросклероз аорты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Хронический бронхит вне обострения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Эмфизем легких Проводившееся лечение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Медикаментозное лечение 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: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08:00;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Тамсулозин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400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Эноксапарин натрий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Клексан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анти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 МЕ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/0,4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0,4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мл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амп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Подкожный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4000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шприцы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Ректальный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суппозитории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суппозитории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(19.05.2021);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Тамсулозин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400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мкг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 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: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08:00;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Диклофенак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Ректальный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суппозитории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суппозитории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.), , :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08:00; 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20:00 (20.05.2021);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Омепразол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, : 20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капс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21:00 (20.05.2021)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Процедура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(18.05.2021)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Операции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Цистоскопия Особенности оперативного вмешательства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условиях операционной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 внутривенным наркозом с ведением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Катеджель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выполнена 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Уретра проходима на всем протяжении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слизистая обычной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Слизистая мочевого пузыря в области шейки умеренно гиперемирована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остальном бледно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розовой окраски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 гиперемирована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Устья мочеточников в типичном месте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щелевидной формы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мочеточниковый выброс определяется с обеих сторон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моча из них светлая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правой боковой стенке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выше устья правого мочеточника визуализируется послеоперационный рубец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мм выше так же визуализируется послеоперационный рубец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передней стенке мочевого пузыря визуализируется послеоперационный рубец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области шейки мочевого пузыря на передне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левобоковой стенке визуализируется послеоперационный рубец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Оптика заведена на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70*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осмотрена вся шейка мочевого пузыря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результатам данных за наличие рецидива новообразования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Цистоскоп удален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Результаты лечения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Пациенту выполнена диагностическая цистоскопия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Данных за рецидив опухоли нет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Пациент выписывается в удовлетворительном состоянии под наблюдение уролога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онколога амбулаторно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Рекомендации по дальнейшему лечению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.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Ципрофлоксацин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затем Фурамаг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раза в день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Омник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таблетке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раз в день месяц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Свечи Индометацин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мг по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св 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сутки на ночь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дней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ректально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). </w:t>
        <w:br/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Питьевой режим не менее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 литров в день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уролога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онколога амбуалторно 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УЗИ мочевыделительной системы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месяца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Госпитализация в урологическое отделение через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год для выполнения диагностической уретроцистоскопии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Выполнить КТ органов грудной клетки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МРТ органов малого таза с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\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контрастированием Исход заболевания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улучшением </w:t>
      </w:r>
      <w:r>
        <w:object w:dxaOrig="360" w:dyaOrig="360">
          <v:rect xmlns:o="urn:schemas-microsoft-com:office:office" xmlns:v="urn:schemas-microsoft-com:vml" id="rectole0000000000" style="width:18.000000pt;height:1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Forms.HTML:Text.1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 печати добавить отступ перед следующим полем Трудоспособность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снижена Направлен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наблюдение участкового врача Подписи </w:t>
      </w:r>
    </w:p>
    <w:tbl>
      <w:tblPr/>
      <w:tblGrid>
        <w:gridCol w:w="3072"/>
        <w:gridCol w:w="2496"/>
        <w:gridCol w:w="140"/>
      </w:tblGrid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Врач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0" w:hRule="atLeast"/>
          <w:jc w:val="left"/>
        </w:trPr>
        <w:tc>
          <w:tcPr>
            <w:tcW w:w="3072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Зав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отделением </w:t>
            </w:r>
          </w:p>
        </w:tc>
        <w:tc>
          <w:tcPr>
            <w:tcW w:w="2496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ДРАГИН С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  <w:tc>
          <w:tcPr>
            <w:tcW w:w="140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" w:type="dxa"/>
              <w:right w:w="1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