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ПОЧЕЧНАЯ КОЛИКА СЛЕВА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N20.1 (75030)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нижней трети 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Трансуретральная эндоскопическая уретеролитотрипсия лазерная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стентирование левого мочеточника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Почечная колика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легкий дискомфорт в поясничной области слева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Страдает мочекаменной болезнью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впервые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возник приступ почечной колики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консервативной камнеизгоняющей терапии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отмечал отхождение конкремента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Повторно колика справа возникла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в урологическое отделение НУЗ НКЦ ОАО 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обследовании выявлен камень устья правого мочеточника и конкременты обеих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чашечках средней группы конкременты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9,7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чашечках нижней группы конкремент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проекции чашечек средней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конкремент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с эхотенью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консервативной терапии камень устья мочеточника отошел самостоятельно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.07.09.2019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почечная колика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в ЦКБ 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консервативного лечения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самостоятельное отхождение конкремента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07.05.2021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интенсивные боли в поясничной области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Самостоятельно принимал спазмолитики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болевой синдром купирован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01:00 08.05.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рецидив болей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Вызвал бригаду СМП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Доставлен в приемный покой ЧУЗ ЦКБ 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в урологическое отделение для обследования и лечения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нуждается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сифилис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КУЛТ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тяжести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гипостеническое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мягкие на ощупь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Верхушечный толчок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 межреберье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увеличен за счет ПЖК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болезненная с левой стороны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Состояние чувствительной сферы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4529"/>
        <w:gridCol w:w="1962"/>
        <w:gridCol w:w="1056"/>
        <w:gridCol w:w="1811"/>
      </w:tblGrid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04:00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44"/>
        <w:gridCol w:w="1622"/>
        <w:gridCol w:w="1622"/>
        <w:gridCol w:w="873"/>
        <w:gridCol w:w="1497"/>
      </w:tblGrid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03:43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03:44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6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92"/>
        <w:gridCol w:w="1716"/>
        <w:gridCol w:w="1716"/>
        <w:gridCol w:w="1716"/>
        <w:gridCol w:w="1716"/>
      </w:tblGrid>
      <w:tr>
        <w:trPr>
          <w:trHeight w:val="0" w:hRule="atLeast"/>
          <w:jc w:val="left"/>
        </w:trPr>
        <w:tc>
          <w:tcPr>
            <w:tcW w:w="2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концентрации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реактивного белка в сыворотке крови</w:t>
            </w: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19:10</w:t>
            </w: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19:11</w:t>
            </w: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реактивный белок</w:t>
            </w: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115.6</w:t>
            </w: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115.6</w:t>
            </w: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93"/>
        <w:gridCol w:w="1828"/>
        <w:gridCol w:w="1828"/>
        <w:gridCol w:w="1315"/>
        <w:gridCol w:w="2193"/>
      </w:tblGrid>
      <w:tr>
        <w:trPr>
          <w:trHeight w:val="0" w:hRule="atLeast"/>
          <w:jc w:val="left"/>
        </w:trPr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мочевины в крови</w:t>
            </w:r>
          </w:p>
        </w:tc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00:19</w:t>
            </w:r>
          </w:p>
        </w:tc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00:20</w:t>
            </w:r>
          </w:p>
        </w:tc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7.34</w:t>
            </w:r>
          </w:p>
        </w:tc>
        <w:tc>
          <w:tcPr>
            <w:tcW w:w="18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7.34</w:t>
            </w:r>
          </w:p>
        </w:tc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60"/>
        <w:gridCol w:w="1300"/>
        <w:gridCol w:w="1300"/>
        <w:gridCol w:w="1300"/>
        <w:gridCol w:w="1300"/>
        <w:gridCol w:w="1040"/>
        <w:gridCol w:w="1560"/>
      </w:tblGrid>
      <w:tr>
        <w:trPr>
          <w:trHeight w:val="0" w:hRule="atLeast"/>
          <w:jc w:val="left"/>
        </w:trPr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креатинина в крови</w:t>
            </w: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00:19</w:t>
            </w: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00:20</w:t>
            </w: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19:10</w:t>
            </w: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19:11</w:t>
            </w:r>
          </w:p>
        </w:tc>
        <w:tc>
          <w:tcPr>
            <w:tcW w:w="1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158.29</w:t>
            </w: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158.29</w:t>
            </w: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130.99</w:t>
            </w:r>
          </w:p>
        </w:tc>
        <w:tc>
          <w:tcPr>
            <w:tcW w:w="13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130.99</w:t>
            </w:r>
          </w:p>
        </w:tc>
        <w:tc>
          <w:tcPr>
            <w:tcW w:w="1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2496"/>
        <w:gridCol w:w="134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группы крови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03:40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Группа крови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(II)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вторая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20"/>
        <w:gridCol w:w="3120"/>
        <w:gridCol w:w="1248"/>
        <w:gridCol w:w="1872"/>
      </w:tblGrid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принадлежности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03:40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принадлежность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 (+)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положительная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90"/>
        <w:gridCol w:w="1556"/>
        <w:gridCol w:w="1556"/>
        <w:gridCol w:w="1556"/>
      </w:tblGrid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Коагулограмма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03:40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32.7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22,7-34,5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Квику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87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FbgM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2.94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1,8-4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02"/>
        <w:gridCol w:w="1585"/>
        <w:gridCol w:w="1585"/>
        <w:gridCol w:w="1585"/>
      </w:tblGrid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04:00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палочкоядерных нейтрофилов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0.771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0,04-0,3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02"/>
        <w:gridCol w:w="1585"/>
        <w:gridCol w:w="1585"/>
        <w:gridCol w:w="1585"/>
      </w:tblGrid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23:41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палочкоядерных нейтрофилов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0.3735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0,04-0,3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4"/>
        <w:gridCol w:w="1665"/>
        <w:gridCol w:w="1665"/>
        <w:gridCol w:w="1665"/>
      </w:tblGrid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 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04:00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сегментоядерных нейтрофилов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11.2566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2-7,5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4"/>
        <w:gridCol w:w="1665"/>
        <w:gridCol w:w="1665"/>
        <w:gridCol w:w="1665"/>
      </w:tblGrid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 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23:41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сегментоядерных нейтрофилов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8.217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2-7,5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44"/>
        <w:gridCol w:w="2212"/>
        <w:gridCol w:w="1361"/>
        <w:gridCol w:w="2042"/>
      </w:tblGrid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04:00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Светло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Прозрачная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Удельный вес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1.028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0-2,8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0-34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эритроцитов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лейкоцитов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Сперматозоиды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неплоский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почечный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зернистые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восковидные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Оксалаты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Мочевая кислота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Трипельфосфаты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Аморфные соли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грибы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Споры мицелий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78"/>
        <w:gridCol w:w="2193"/>
        <w:gridCol w:w="2193"/>
        <w:gridCol w:w="2193"/>
      </w:tblGrid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рамках НИР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«Нейросенсорная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тугоухость»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04:00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переходный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93"/>
        <w:gridCol w:w="1322"/>
        <w:gridCol w:w="1322"/>
        <w:gridCol w:w="1322"/>
      </w:tblGrid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08.05.2021</w:t>
              <w:br/>
              <w:t xml:space="preserve">04:00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126-174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4.52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42.8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0.94911504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94.7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31.6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279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15.42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палочкоядерных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0-6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0.1542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12.47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2.313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0.9252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сегментоядерных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Вестергрену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2-15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45"/>
        <w:gridCol w:w="1009"/>
        <w:gridCol w:w="1009"/>
        <w:gridCol w:w="1009"/>
        <w:gridCol w:w="1187"/>
      </w:tblGrid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19:10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09.05.2021</w:t>
              <w:br/>
              <w:t xml:space="preserve">23:41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132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126-174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4.21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4.29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3,8-5,8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40.5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41.5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0.951049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96.2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96.7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31.4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31.7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328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12.2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12.48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12.45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палочкоядерных нейтрофилов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0-6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0.1245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8.45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2.8635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0.8715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сегментоядерных нейтрофилов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Вестергрену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2-15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16.05.21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гемоглобин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144,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эритроциты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4.57,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гематокрит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- 44.1,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тромбоциты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399,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лейкоциты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- 8.6.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электрокардиограммы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 ЭКГ 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P-Q= 0.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0.12-0.20)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QRS=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QT=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синусовый Частота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 ЭКГ 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P-Q= 0.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0.12-0.20)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QRS=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QT=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синусовый Частота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Синусовая брадикардияЧСС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минутуГоризонтальное положение электрической оси сердца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Компьютерная томография почек и надпочечников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выполнено по стандартной программе спирального сканирования с толщиной среза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-0,6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нативное исследование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Надпочечники обычного расположения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формы и конфигурации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Почки обычного расположения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ровные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Перинефральная клетчатка тяжиста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преимущественно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Рентгенконтрастных конкрементов в почках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ЧЛС правой почки не расширена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определяется расширение ЧЛС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чашечки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лоханка 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Правый мочеточник не расширен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рентгенконтрастных конкрементов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 мочеточник расширен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расстоянии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до устья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определяется конкремент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1200HU.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Мочевой пузырь слабого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содержимое однородное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рентгенконтрастных конкрементов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Клетчатка малого таза структурна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Предстательная железа поперечными 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структура однородна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в размерах не увеличена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вертикальный размер правой доли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 четкий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 паренхимы диффузно неравномерно снижена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42Hu.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внепеченочные желчные протоки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Воротная вена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селезеночная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Желчный пузырь обычных размеров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рентгенконтрастных конкрементов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Селезенка обычной формы и расположения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размерах не увеличена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Поджелудочная железа обычной формы и расположения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дольчатого строения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размерах не увеличена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 паренхимы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Перипанкреатическая клетчатка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картина конкремента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левосторонней каликопиелоуретероэктазии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(08.05.2021):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Компьютерная томография почек и надпочечников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(08.05.2021):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картина конкремента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левосторонней каликопиелоуретероэктазии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свечи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Ректальный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ночь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до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Дротаверин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++++X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Тамсулозин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400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Фуразидин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Фурамаг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Фуросемид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Фуросемид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1%-2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струйно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12:00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Монурал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однокртано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11.05.2021 09:40: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Трансуретральная эндоскопическая уретеролитотрипсия лазерная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Установка стента в мочевыводящие пути</w:t>
        <w:br/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условиях рентгеноперационной после обработки операционного поля под СМА выполнена 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Уретра проходима на всем протяжении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стенка мочевого пузыря 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устья мочеточников в типичном месте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щелевидной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левого мочеточника заведена струна проводник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проведена мимо камня и доведена до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мочеточник заведен уретероскоп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9Ch.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уретероскопия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расстоянии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от устья визуализируется зона гиперемии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выше данного участка конкремент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лазерная литотрипсия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фрагментирован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фрагменты камня удалены двубраншевыми щипцами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контрольной уретероскопии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уретероскоп доведен до ЛМС данных за наличие фрагментов камня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ретроградная уретерография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дефектов наполнения не получено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уретероскоп удален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Учитывая выраженный уретерит в месте стояния конкремента принято решение о установке стента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струне установлен внутренний мочеточниковый стент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6-26Ch.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Завитки сформированы в лоханке левой почки и мочевом пузыре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Установлен уретральный катетер Фолея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поступил в отделение урологии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клиникой левосторонней почечной колики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обследования у пациента диагностирован камень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Пациенту была назначена терапия направленная на самостоятельное отхождения камня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эффекта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пациенту была выполнена Трансуретральная эндоскопическая уретеролитотрипсия лазерная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стентирование левого мочеточника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выписывается в удовлетворительном состоянии под наблюдение уролога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.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утром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Канефрон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Питьевой режим 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литров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Исключить подъемы тяжелых предметов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саун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на удаление мочеточникового стента слева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урологом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снижена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не нуждается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ЖУРБЕНКО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