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Карункул мочеиспускательного канала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D30.4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Карункул мочеиспускательного канала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карункула уретры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разбрызгивание струи мочи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пациентки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назад появился карункул уретры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последнего года увеличился в размерах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для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ЛН не нуждается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кистозно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макулярный отек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артифакия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помутнение роговицы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глаукома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компенсированная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пересадки роговицы и эндовитреального введения луцентиса в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начальная осложненная катаракта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03.10.2019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Интравитреальное введение лекарственных препаратов левый глаз сахарный диабет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ИБС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аппендэктомия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резекция щитовидной железы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пенициллин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159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видимой патологии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легких дыхание жесткое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проводится во все отделы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удовлетворительных характеристик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левом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125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Данные осмотра и пальпации щитовидной железы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не увеличена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эластической консистенции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 В и С отрицательные </w:t>
        <w:br/>
        <w:t xml:space="preserve">Биохимический анализ крови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- 28,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креатинин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- 79,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- 4,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глюкоза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-6,1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гемоглобин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- 145,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эритроциты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- 4,7,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лейкоциты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- 7,8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лейкоциты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 </w:t>
        <w:br/>
        <w:t xml:space="preserve">Коагулограмма в пределах нормы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18.05.2021 12:50: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полипа уретры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полипа уретры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19.05.21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уретральный катетер удален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Восстановлено самостоятельное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в удовлетворительном состоянии с рекомендациями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гистологических исследований в работе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Фурамаг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  <w:t xml:space="preserve">Наблюдение уролога поликлиники </w:t>
        <w:br/>
        <w:t xml:space="preserve">Явка за результатами гистологического заключения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496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