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почки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Стриктура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мочеточника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31.01.2021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Замена стента левого мочеточника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  <w:br/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цистит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ритма по типу одиночной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групповой наджелудочковой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пробежки неустойчивой наджелудочкой тахикардии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одиночной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групповой желудочковой экстрасистолии Недостаточность кровообращения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Узловой зоб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эутиреоз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предъявляет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Впервые почечная колика слева возникла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обследовании выявлен конкремент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 выполнена контактная уретеролитотрипсия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Повторный приступ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слева выполнена контактная уретеролитотрипсия со стентированием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стентирование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нижней трети левого мочеточника при уретероскопии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уровне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от устья мочеточника определяется циркулярное сужение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уретероскоп за стриктуру не представляется возможным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ретроградная уретеропиелография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протяженность стриктуры мочеточника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мочеточник представляется резко расширенным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 сужением дефект наполнения размерами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верхней трети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ниже ЛМС выраженная девиация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определяется расширенная ЧЛС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учетом наличия стриктуры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принято решение выполнить стентирование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данном этапе завершить оперативное пособие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проведенного лечения восстановлена нарушенная уродинамика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удовлетворительном состоянии выписана на амбулаторное лечение под наблюдение уролога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кардиолога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25.12.2018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возник приступ почечной колики слева с сопровождением тошноты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рвоты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УЗИ почек ЧЛС слева и левый мочеточник расширены до нижней трети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чашечки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27.12.2018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родственниками доставлена в НУЗ НКЦ 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в урологическое отделение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обследовании выявлено расширение ЧЛС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анализах крови и мочи выраженный воспалительный процесс за счет нарушенной уродинамики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срочном порядке выполнено стентирование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Интраоперационно выявлена стриктура нижней трети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выраженная девиация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06.03.2019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произведена плановая замена стента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19.09.2019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произведено удаление стента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нарушением уродинамики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30.09.2019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выполнено стентирование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дальнейшем в январе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повторная замена мочеточникового стента в ЦКБ РЖД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наблюдалась урологом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26.01.2021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29.01.2021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стационарное лечение в ЦКБ 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замена мочеточникового стента слева в связи с инкрустацией стента и неадекватным функционированием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была выписана в удовлетворительном состоянии с рекомендациями о повторной госпитализации для замены стента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МСКТ мочевыделительной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Дислокация мочеточникового стента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каликопиелоэктазия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верхней группы чашечек левой почки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 по Хаунсфилду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госпитализирована в урологическое отделение ЦКБ ОАО РЖЖ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замены мочеточникового стента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</w:t>
        <w:br/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ритма по типу одиночной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групповой наджелудочковой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пробежки неустойчивой наджелудочкой тахикардии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одиночной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групповой желудочковой экстрасистолии </w:t>
        <w:br/>
        <w:t xml:space="preserve">Недостаточность кровообращения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Узловой зоб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эутиреоз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КУЛТ слева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  <w:br/>
        <w:t xml:space="preserve">Стентирование мочеточника слева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Замена мочеточникового стента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2019, 2020,2021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при поступлении в стационар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учащенное мочеиспускание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дискомфорт при мочеиспускании </w:t>
        <w:br/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деформации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определяются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везикулярное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Пальпация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шумов над сосудами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Состояние чувствительной сферы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Поясничная область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телесного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теплые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Гемодинамика стабильная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по всем отделам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Поясничная область при пальпации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Диурез адекватный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УЗИ почек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отделении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ЧЛС не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84.06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5.99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56.77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53-97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5.21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141.7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3.96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11.5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112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(+)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положительная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93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3.07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13.9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Мутная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1212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12:00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117-161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5.31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0.8079096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26.9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6.57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52.4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0.01314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0.11826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3.44268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2.37834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0.61758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Блокада передней ветви левой ножки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Изменения миокарда желудочков диффузного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Плёнок для сравнения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гипертония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аорты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Эмфизема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к операции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Замена стента мочеточника 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рентгеноперационной пациентка уложена в литотомическое положение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рентгеноскопии отмечается миграция стента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проксимальный завиток находится на уровне подвздошных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дистальная часть стента в мочевом пузыре в виде кольца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внутривенной анестезией с введением катеджель выполнена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Уретра проходима на всем протяжении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Слизистая мочевого пузыря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просвете мочевого пузыря визуализируется практически весь стент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захвачен двухбраншевыми щипцами за дистальную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выведен в наружу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просвет стента введена струна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РТВ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контролем с техническими сложностями выпрямлен завиток сформировавшийся в мочеточнике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удален с сохранением проводника в мочеточнике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проводнику введен мочеточниковый катетер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ретроградная уретеропиелография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проходим на всем протяжении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ЧЛС не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дефекты наполнения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нижней трети мочеточника определяется стриктура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проводнику установлен стент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 сформированы завитки в лоханке левой почки и в мочевом пузыре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Произведена замена стента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 адекватный пассаж из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в удовлетворительном состоянии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Цистон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прием препарата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перерыв и так далее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Уралит 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препарат принимать после еды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мерной ложе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прием препарата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перерыв и так далее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чередовать с препаратом цистон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в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для плановой замены мочеточникового стента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почек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стойко утрачена в связи с другими причинами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ДАЛГАТОВ 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