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Осложненная катаракта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H26.2 (67130)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Осложненная катаракта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Факоэмульсификация осложненной катаракты с имплантацией интраокулярной линзы левого глаза </w:t>
        <w:br/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снижение зрения правого глаза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последнего года отмечает снижение зрения обоих глаз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выдаче больничного листа не нуждается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Status praes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Правильного телосложения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среднего питания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Нормостенический тип конституции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бледные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Подмышечные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подчелюстные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паховые лимфоузлы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Грудная клетка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 половины ее равномерно участвуют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грудная клетка безболезненная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перкуторно над всей поверхностью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звук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- 120\75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Видимой на глаз пульсации сосудов шеи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Верхушечный толчок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межреберье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кнаружи от грудинно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ключичной линии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абсолютной тупости сердца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патологических шумов не выслушивается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защитного мышечного напряжения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расхождения прямых мышц живота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Симптомов раздражения брюшины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Кишечные перистальтические шумы активные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патологических кишечных шумов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и селезенка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края печени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Почки не пальпируются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поколачивание по поясничной области безболезненно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0.5-0.6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OS: 0,1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корр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нечетко 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зрения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бинокулярный </w:t>
        <w:br/>
        <w:t xml:space="preserve">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изменены Коньюктива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блестящая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субатрофичная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круглый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неравномерные помутнения в ядре и заднекортикальных слоях 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структурно </w:t>
        <w:br/>
        <w:t xml:space="preserve">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флером 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грубой очаговой патологии не выявлено 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нормального неравномерногокалибра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небольшая инъекция глазного яблока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роговица 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пузырек воздуха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чч в передней камере рассасывается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камера средней глубины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влага 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зрачок круглый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умеренно расширен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правильном положении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глазного дна 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ДЗН бледно 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Сосуды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склерозированы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Макула с перераспределением пигмента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OS=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OS=0.7-0.8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местная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дексамезатон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ром мезатона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вигамокс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дексаметазон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12.05.2021 11:05: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Факоэмульсификация осложненной катаракты с имплантацией интраокулярной линзы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левого глаза Хирург Лоскутов 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осложнений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Капли в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флоксал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Дексаметазон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Индоколлир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к врачу отделения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9.00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окулиста поликлиники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выздоровлением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МЕЛЬНИКОВА 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