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Начальная старческая катаракта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H25.1 (67130)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Старческая ядерная катаракта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Артифакия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.18.05.2021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Факоэмульсификация осложненной катаракты с имплантацией ИОЛ ЛЕВОГО ГЛАЗА </w:t>
        <w:br/>
        <w:br/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снижение зрения левого глаза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последнего года отмечает снижение зрения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Поступает для хирургического лечения катаракты левого глаза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ЛВН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ЛВН нуждается со дня поступления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Status praes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Правильного телосложения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среднего питания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Нормостенический тип конституции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и видимые слизистые бледные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Подмышечные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подчелюстные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паховые лимфоузлы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Грудная клетка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 половины ее равномерно участвуют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грудная клетка безболезненная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перкуторно над всей поверхностью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звук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ЧДД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- 68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- 120\75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Видимой на глаз пульсации сосудов шеи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Верхушечный толчок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межреберье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кнаружи от грудинно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ключичной линии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абсолютной тупости сердца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патологических шумов не выслушивается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защитного мышечного напряжения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расхождения прямых мышц живота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Симптомов раздражения брюшины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Кишечные перистальтические шумы активные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патологических кишечных шумов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 и селезенка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Пальпация края печени безболезненна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Почки не пальпируются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поколачивание по поясничной области безболезненно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органа зрения </w:t>
        <w:br/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0.8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КОРР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-0.5=1.0 OS: 0,3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зрения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бинокулярный </w:t>
        <w:br/>
        <w:t xml:space="preserve">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изменены Коньюктива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блестящая 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 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субатрофичная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круглый 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неравномерные помутнения в ядре и заднекортикальных слоях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положение ИОЛ правильное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уплотнение задней капсулы хрусталика Стекловидное тело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структурно </w:t>
        <w:br/>
        <w:t xml:space="preserve">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Макулярная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флером Сетчатка периферия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грубой очаговой патологии не выявлено Сосуды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артерии сужены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вены нормального калибра и хода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успокаивается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роговица 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камера средней глубины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влага 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зрачок круглый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умеренно расширен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ИОЛ правильном положении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Рефлекс глазного дна 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ДЗН бледно 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Острота зрения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0.8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ВГД компенсировано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пальпаторно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норме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местная противовоспалительная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дексамезатон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ром мезатона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дексаметазон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тропикамид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18.05.2021 10:10: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Факоэмульсификация осложненной катаракты с имплантацией ИОЛ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ЛЕВОГО ГЛАЗА Хирург Лоскутов 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Капли в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флоксал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Дексаметазон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Индоколлир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к врачу отделения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14.00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окулиста поликлиники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выздоровлением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ВК проведено 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МЕЛЬНИКОВА 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Лоскутов 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