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Перелом дистального отдела большеберцовой кости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T93.0 (79560)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Несросшийся оскольчатый перелом проксимального и среднего отдела левой голени со смещением отломков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Регионарный остеопороз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нестабильность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отсутствие опороспособности левой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умеренную боль в области проведенного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пациента и данных медицинской документации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получил травму в результате ДТП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13.10.2020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ГБУЗ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Вышневолокамкую районную больницу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отделение травматологии и ортопедии с диагнозом перелом костей левой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обширное повреждение и некроз мягких тканей голени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проводилось консервативное лечение на системе скелетного вытяжения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выписан на амбулаторное долечивание с рекомендациями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гипсовой лонгете до заживления повреждения мягких тканей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31.03.2021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повторно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выписан в связи с технической невозможностью оперативного лечения в рамках отделения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травматологическое отделение ЧУЗ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дальнейшей диагностики и принятия решения о дальнейшем лечении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Первично нетрудоспособен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13.10.2020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Всего дней ВН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 на руках ЛВН продолжение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391 868 534 742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оттенка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во все отделы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не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  <w:br/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Ходит самостоятельно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помощи костылей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опоры на левую нижнюю конечность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Левая голени иммобилизирована задней гипсовой лонгетой от дистальной трети голени до дистальной трети бедра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иммобилизация заменена на ортез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нарушений в левой нижней конечности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Рубец в области проксимального отдела голени без признаков воспаления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3844"/>
        <w:gridCol w:w="2172"/>
        <w:gridCol w:w="1337"/>
        <w:gridCol w:w="2005"/>
      </w:tblGrid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янтарный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полная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Относительная плотность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1,024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1,01-1,025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5-7,5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8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1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588"/>
        <w:gridCol w:w="2028"/>
        <w:gridCol w:w="1872"/>
        <w:gridCol w:w="1872"/>
      </w:tblGrid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анализ мочи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Микроскопическое исследование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Кристаллы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клетки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(YEA)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0-5,28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немного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Патологические цилиндры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35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Неплоский эпителий</w:t>
            </w:r>
          </w:p>
        </w:tc>
        <w:tc>
          <w:tcPr>
            <w:tcW w:w="20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зр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46"/>
        <w:gridCol w:w="3556"/>
        <w:gridCol w:w="1310"/>
        <w:gridCol w:w="2246"/>
      </w:tblGrid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Иммуногематология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O(I),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</w:t>
            </w: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фактор</w:t>
            </w:r>
          </w:p>
        </w:tc>
        <w:tc>
          <w:tcPr>
            <w:tcW w:w="3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Rh(+),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положительный</w:t>
            </w:r>
          </w:p>
        </w:tc>
        <w:tc>
          <w:tcPr>
            <w:tcW w:w="131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4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21"/>
        <w:gridCol w:w="972"/>
        <w:gridCol w:w="899"/>
        <w:gridCol w:w="1166"/>
      </w:tblGrid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Гематология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6,44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3,89-9,23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5,62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4,3-5,57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Концентрация гемоглобина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138-167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51,3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39,2-51,7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91,3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81-100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пг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26-34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331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315-350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230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156-403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коэффициент вариации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(RDW-CV)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11,22-15,56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стандартное отклонение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(RDW-SD)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35,26-48,7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(PDW)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9,3-16,7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тромбоцита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(MPV)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9,1-12,6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 крупных тромбоцитов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(P-LCR)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33,4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17,21-46,29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(PCT)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0,25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0,12-0,35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3,72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1,78-6,04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0-0,58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(BASO# 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0-0,09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1,86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1,39-3,15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Абсолютное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(MONO#)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0,57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0,29-0,72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4,2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0,3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20,11-46,79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8,9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4,17-11,37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(MicroR)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0,14-5,79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(MacroR)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3,3-5,56</w:t>
            </w:r>
          </w:p>
        </w:tc>
      </w:tr>
      <w:tr>
        <w:trPr>
          <w:trHeight w:val="0" w:hRule="atLeast"/>
          <w:jc w:val="left"/>
        </w:trPr>
        <w:tc>
          <w:tcPr>
            <w:tcW w:w="632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Относительное количество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57,7</w:t>
            </w:r>
          </w:p>
        </w:tc>
        <w:tc>
          <w:tcPr>
            <w:tcW w:w="89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6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40,8-70,39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1560"/>
        <w:gridCol w:w="1248"/>
        <w:gridCol w:w="1872"/>
      </w:tblGrid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Биохимия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Аспартатаминотрансфераза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0-40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4,42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3,3-5,5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Аланинаминотрасфераза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42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0-41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Железо сывороточное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19,5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11-28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62-106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 общий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12,3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5,13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4,11-6,2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132-146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4,4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2,76-8,07</w:t>
            </w:r>
          </w:p>
        </w:tc>
      </w:tr>
      <w:tr>
        <w:trPr>
          <w:trHeight w:val="0" w:hRule="atLeast"/>
          <w:jc w:val="left"/>
        </w:trPr>
        <w:tc>
          <w:tcPr>
            <w:tcW w:w="4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5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72,3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64-83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положительный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128"/>
        <w:gridCol w:w="1114"/>
        <w:gridCol w:w="780"/>
        <w:gridCol w:w="1337"/>
      </w:tblGrid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Коагулология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22.04.2021</w:t>
              <w:br/>
              <w:t xml:space="preserve">10:00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30,6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21,1-36,5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Международное нормализованное отношение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1,11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0,8-1,2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2,11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1,8-3,5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18,8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14-21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по Квику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77,9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61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</w:p>
        </w:tc>
        <w:tc>
          <w:tcPr>
            <w:tcW w:w="111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11,8</w:t>
            </w:r>
          </w:p>
        </w:tc>
        <w:tc>
          <w:tcPr>
            <w:tcW w:w="7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3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9,2-12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112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группы крови</w:t>
            </w:r>
          </w:p>
        </w:tc>
        <w:tc>
          <w:tcPr>
            <w:tcW w:w="21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28.04.2021</w:t>
              <w:br/>
              <w:t xml:space="preserve">17:00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21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O(I)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первая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  <w:gridCol w:w="3120"/>
        <w:gridCol w:w="1248"/>
        <w:gridCol w:w="1872"/>
      </w:tblGrid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принадлежности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28.04.2021</w:t>
              <w:br/>
              <w:t xml:space="preserve">17:00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принадлежность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 (+)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положительная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304"/>
        <w:gridCol w:w="230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Фенотипирование по антигенам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28.04.2021</w:t>
              <w:br/>
              <w:t xml:space="preserve">17:00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Фенотип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D+C+E+c+e+K-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815"/>
        <w:gridCol w:w="1848"/>
        <w:gridCol w:w="1848"/>
        <w:gridCol w:w="1848"/>
      </w:tblGrid>
      <w:tr>
        <w:trPr>
          <w:trHeight w:val="0" w:hRule="atLeast"/>
          <w:jc w:val="left"/>
        </w:trPr>
        <w:tc>
          <w:tcPr>
            <w:tcW w:w="3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антител к антигенам эритроцитов в сыворотке крови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28.04.2021</w:t>
              <w:br/>
              <w:t xml:space="preserve">17:00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8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антигенам эритроцитов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28.04.2021</w:t>
              <w:br/>
              <w:t xml:space="preserve">17:00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30.5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1.9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17.6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45"/>
        <w:gridCol w:w="1009"/>
        <w:gridCol w:w="1009"/>
        <w:gridCol w:w="1009"/>
        <w:gridCol w:w="1187"/>
      </w:tblGrid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28.04.2021</w:t>
              <w:br/>
              <w:t xml:space="preserve">17:00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29.04.2021</w:t>
              <w:br/>
              <w:t xml:space="preserve">06:00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130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3.66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43.8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33.2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92.4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90.7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336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13.9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318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191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1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23.24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14.03</w:t>
            </w:r>
          </w:p>
        </w:tc>
        <w:tc>
          <w:tcPr>
            <w:tcW w:w="100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18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(29.04.2021)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(22.04.2021);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(23.04.2021);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(24.04.2021);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(25.04.2021);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(25.04.2021);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(26.04.2021);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(26.04.2021);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физ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(21.04.2021);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27.04.2021 11:30: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Открытая репозиция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остеосинтез задней колонны плато большеберцовой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мостовидный остеосинтез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2. 04.05.2021 13:30: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Монтаж аппарата внешней фиксации комбинированного типа бедро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Ранний послеоперационный период протекает гладко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активизирован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лечение в поликлинике по месту жительства у врача травматолога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 или хирурга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Прием антикоагулянтов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компрессии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эластических бинтов до восстановления двигательного стереотипа пациента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месяцев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Передвижение при помощи средств дополнительной опоры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костыли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дозированной нагрузкой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касание ногой пола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рентгеновский снимок оперированного сегмента с захватом коленного и голеностопного суставов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решения о дальнейшем лечении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голеностопного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болях противовоспалительные препараты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Аркоксиа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Мовалис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 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приеме НПВС обязательно прием 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сращения переломов рекомендуемые сроки удаления металлофиксаторов 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считая с момента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наличие клинических и рентгенологических признаков сращения перелома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Перевязка устьев выхода спиц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Лист нетрудоспособности выдан Предыдущий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391868534742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26.04.2021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496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ТЕЛИЯ 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