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Посттравматический артроз других суставов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M19.1 (78020)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Посттравматический артроз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операции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отёка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амплитуды движений в оперированном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левом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нестабильность сустава беспокоили в течение нескольких лет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Периодически обращался к травматологу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ортопеду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назначалась консервативная терапия с временным эффектом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последние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стал отмечать усиление болей в суставе и нестабильность стала выраженной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к ортопеду в ЧУЗ 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выполнены инструментальные исследования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Верифицирован травматический гонартроз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послеоперационном периоде отмечается снижение амплитуды движений в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сохраняется послеоперационный отёк и умеренный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Консультирован травматологом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реабилитационное лечение в раннем послеоперационном периоде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для проведения послеоперационной реабилитации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не нуждается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артроскопия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медиального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оперативного лечения </w:t>
        <w:br/>
        <w:t xml:space="preserve">Органы дыхания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коленный сустав иммобилизирован ортезом в положении разгибания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снятии ортеза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контуры коленного сустава увеличены за счёт послеоперационного отёка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Повязки в области операции сухие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Пальпаторно болезненность в области операции умеренная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баллотирования надколенника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"-".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 Штеймана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"-".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Лахман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"-".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коленном суставе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-5/0/5.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Нарушений трофики и иннервации не отмечается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(13.05.2021)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по 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месяца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нагрузку на оперированную конечность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ноги в оперированном суставе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второй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увеличивать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каждую неделю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касанием пола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еще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при помощи трости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вертикальной нагрузки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в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приседания на корточки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с исключением стиля брасс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с первых дней после операции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напряжение мышц голени и четырехглавой мышцы бедра с удержанием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ВНУТРИСУСТАВНО введение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Гиалуроновой кислоты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ГИРУАН ПЛЮС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неделю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форез и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снятия отека и увеличения объема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кинезиотерапевта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суставе и укрепления мышц голени и бедра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