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Поражения шейных корешков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классифицированные в других рубриках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Дисцикуляторная энцефалопатия смешанного генеза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астеническим синдромом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Дегенеративная болезнь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МПД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3-Th1.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Грыжа диска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L4-L5.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Ожирение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*2).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толерантности к глюкозе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Гиперурикемия</w:t>
        <w:br/>
        <w:t xml:space="preserve">Хронический биллиарнозависимый панкреатит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 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холецистэктомии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Постхолецитсэктомический синдром</w:t>
        <w:br/>
        <w:t xml:space="preserve">ГЭРБ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катаральный рефлюкс эзофагит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неуточненный по инфекции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pylori.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Дуоденальный рефлюкс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Дивертикулярная болезнь толстого кишечника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Генерализованный остеоартроз с вовлечением суставов кистей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узелковая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Левосторонний коксартроз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онменение пальцев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поясничном отделе с иррадиацией в правую ногу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голеностопных суставах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Длительное время наблюдается по поводу распространенного остеохондроза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 в шейно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дисциркуляторной энцефалопатии смешанного генеза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периодически амбулаторно и стационарно лечилась в неврологии с временным улучшением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последний раз в ноябре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МРТ шейного отдела позвоночника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12.08.2015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Физиологический лордоз сохранен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Краевые костные остеофиты по передним боковым контурам тел позвонков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Задние остеофиты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 12-S1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позвонков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МРТ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 сустава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(28.08.2015)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 признаки двустороннего коксартроза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чуть более выраженного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выпота в полости левого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подвздошно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бедренной связки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МРТ головного мозга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16.04.2013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умеренной наружной гидроцефалии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единичные субкортикальные и периветрикулярные сосудистые очаги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неврологическое отделение в декабре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проходила повторные курсы лечения в неврологическом отд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ОАО РЖД и ЦБ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ухудшение в течение последних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начали нарастать вышеуказанные 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консультирована ревматологом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нейрохирургом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Лечение назначенное специалистами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тексаред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мовалис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мелоксикам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мидокалм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мази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леотон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кетанов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незначительным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непродолжительным положительным эффектом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для стационарного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Гипертонический анамнез прослеживается в течение длительного 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максимальные цифры артериального давления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160/100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артериальное давление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 ст Принимает 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Гиперурикемия принимает аллопуринол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утром Нарушение толерантности к глюкозе принимает глюкофаж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на ночь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самоконтроле гликемия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ммоль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астено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депрессивным синдромом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принимает Фенибут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 утром и вечером Ожирение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*2).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биллиарнозависимый панкреатит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 обостренияЖКБ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холецистэктомии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Постхолецитсэктомический синдромГЭРБ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катаральный рефлюкс эзофагит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неуточненный по инфекции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pylori.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Дуоденальный рефлюкс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Дивертикулярная болезнь толстого кишечника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Генерализованный остеоартроз с вовлечением суставов кистей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узелковая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Левосторонний коксартроз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Пяточная шпора 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ампутация матки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по поводу миомы матки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холецистэктомии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110 / 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сглажены физиологические лордозы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коксартроз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выраженный болевой синдром паравертебрально по ходу всего позвоночника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обеих сторон умеренно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низкие 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астенизирована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сглажены физиологические лордозы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коксартроз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выражен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обеих сторон умеренно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низкие с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 = 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низкие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астенизирована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12.05.2021</w:t>
              <w:br/>
              <w:t xml:space="preserve">13:00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янтарный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1,029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1+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12.05.2021</w:t>
              <w:br/>
              <w:t xml:space="preserve">13:00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единичные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4,62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единичные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12.05.2021</w:t>
              <w:br/>
              <w:t xml:space="preserve">13:00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5,41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5,15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3,61-5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115-141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34-42,5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88-104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2-30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28,5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28-35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305-340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143-355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11,43-13,9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38,56-50,28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48,9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0,16-0,33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2,44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1,01-2,75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0,41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0,24-0,72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45,1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4,41-10,6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0,2-1,87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3,2-6,77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12.05.2021</w:t>
              <w:br/>
              <w:t xml:space="preserve">13:00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30,8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реактивный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2,05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40,7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291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142,8-339,2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5,39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4,56-6,38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Электроэнцефалография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Регистрируются умеренные диффузные изменения биоэлектрической активности головного мозга ирритативного характера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свидетельствующие о заинтересованности стволово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диэнцефальных структур головного мозга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которые усиливаются в условиях гиипервентиляции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передневисочно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центрально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лобные отделы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момент регистрации очаговых и эпилептиформных изменений биоэлектрической активности коры головного мозга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Целесообразно повторное исследование ЭЭГ в динамике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БЦА на экстракранильном уровне проходимы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диаметры в пределах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эхогенность КИМ диффузно неравномерно повышена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дифференцировка на слои частично нарушена в ОСА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ПГС утрачена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толщина КИМ в ОСА справа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локальное утолщение КИМ в области бифуркации ОСА по передней стенке справа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бифуркации слева концентрическая гипоэхогенная АСБ со стенозом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бифуркации ОСА гипоэхогенные концентрические АСБ со стенозом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35-40%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ПГС визуализируется локальная гипоэхогенная АСБ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стеноз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20-25%.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переходом ППКА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20-25%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Сосудистая геометрия СА на экстракраниальном уровне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угловой ход ВСА с двух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СА и ПА в парных сегментах на экстракраниальном уровне скоростные и спектральные характеристики кровотока симметричные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диапазоне возрастных нормативных значений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 ПА незначительно непрямолинейный в сегменте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V-2.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ЛПАд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=3.7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 в устье не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начальных проявлений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варианта развития 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выполнено на Лоджик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Дуплексное сканирование брахиоцефальных артерий с цветным допплеровским картированием кровотока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Эхографические признаки начальных проявлений стенозирующего поражения брахеоцефальных артерий на экстракраниальном уровне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варианта развития ППА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головные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головокружение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онменение пальцев рук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поясничном отделе с иррадиацией в правую ногу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голеностопных суставах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-120/80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 телосложение нормостеническое Кожные покровы нормальной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высыпаний и повреждений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Видимых отеков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дефектов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болезненностьпри пальпации паравертебральных точек шейно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грудного отд </w:t>
        <w:br/>
        <w:t xml:space="preserve">Назначения СМ Токи на шейно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грудной отд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Амитриптилин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Тромбоасс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комбилипен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алфлутоп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Пациентка находилась на стационарном лечении с диагнозом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:I67.2 (66230)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ЦВБ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Дисцикуляторная энцефалопатия смешанного генеза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астеническим синдромом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Дегенеративная болезнь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МПД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3-Th1.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Грыжа диска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L4-L5.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гипертензия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Ожирение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*2).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толерантности к глюкозе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ГиперурикемияХронический биллиарнозависимый панкреатит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 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холецистэктомии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Постхолецитсэктомический синдромГЭРБ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катаральный рефлюкс эзофагит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неуточненный по инфекции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pylori.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Дуоденальный рефлюкс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Дивертикулярная болезнь толстого кишечника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Генерализованный остеоартроз с вовлечением суставов кистей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узелковая форма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Левосторонний коксартроз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метаболическая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седативная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хондропротекторная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витаминотерапия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положительная 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уменьшился неврологический дефицит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 даны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силе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Кардиомагнил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или Тромбо 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неопределенно долго</w:t>
        <w:br/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утро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Келтикан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  <w:br/>
        <w:t xml:space="preserve">Порошок Дона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запивая стаканом воды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</w:t>
        <w:br/>
        <w:t xml:space="preserve">При болях в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отделе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местно пластырь Версатис на ночь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Иппликатор Кузнецова</w:t>
        <w:br/>
        <w:t xml:space="preserve">Динамическое наблюдение неврологом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 ревматолога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