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Преходящие транзиторные церебральные ишемические приступы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родственные синдромы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I67.4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Гипертензивная энцефалопатия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вертебро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базилярная недостаточность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</w:t>
        <w:br/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очень 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Сахарный диабет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 целевой уровень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HbA1c &lt; 7,0%.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головокружение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пошатывание при ходьбе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общую слабость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периодически тошноту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повышение АД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170 - 100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Гипертонический анамнез прослеживается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максимальные цифры артериального давления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200/100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артериальное давление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многих лет регулярно принимал разные комбинации гипотензивных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последние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принимает индапамид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апроваск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ранее принимал индапамид и гипосарт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эпизод головокружение вплоть до кратковременной потери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 состояние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когда на фоне относительного благополучия стал отмечать приступообразные головокружения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кратной рвотой и постоянной тошнотой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обращался за медицинской помощью госпитализацию не предлагали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Сегодня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в поликлинику к неврологу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ТИА в ВББ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вестибулоатаксия на фоне гипертонического криза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условиях приемного отделения осмотрен неврологом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Гипертензивная энцефалопатия вертебро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базилярная недростаточность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Госпитализиурется в отделении неврологии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дальнейшего дообследования и определения дальнейшей тактики ведения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Нетрудоспособен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руках имеет ЛВН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399 891 567 343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Вирусный гепатит А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 эндопротезирование правого коленного сустава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назад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Назальная ликворея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живые с ног живые Патологические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орального автоматизма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Тазовые нарушения по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живые с ног живые Патологические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орального автоматизма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Тазовые нарушения по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5105"/>
        <w:gridCol w:w="1418"/>
        <w:gridCol w:w="1134"/>
        <w:gridCol w:w="1701"/>
      </w:tblGrid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33,3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0-40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0,97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гликированного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(HbA1c)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6,21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4,8-5,9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4,62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24,9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0-41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107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62-106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Лактатдегидрогеназа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ЛДГ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178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135-225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5,98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4,56-6,38</w:t>
            </w:r>
          </w:p>
        </w:tc>
      </w:tr>
      <w:tr>
        <w:trPr>
          <w:trHeight w:val="0" w:hRule="atLeast"/>
          <w:jc w:val="left"/>
        </w:trPr>
        <w:tc>
          <w:tcPr>
            <w:tcW w:w="51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66,5</w:t>
            </w:r>
          </w:p>
        </w:tc>
        <w:tc>
          <w:tcPr>
            <w:tcW w:w="113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Ферритин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189,6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30-400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30.04.2021</w:t>
              <w:br/>
              <w:t xml:space="preserve">15:00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7.42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30.04.2021</w:t>
              <w:br/>
              <w:t xml:space="preserve">15:00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124.72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6"/>
        <w:gridCol w:w="2127"/>
        <w:gridCol w:w="2127"/>
        <w:gridCol w:w="2269"/>
      </w:tblGrid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30.04.2021</w:t>
              <w:br/>
              <w:t xml:space="preserve">15:00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15.4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30.04.2021</w:t>
              <w:br/>
              <w:t xml:space="preserve">15:00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1.021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78"/>
        <w:gridCol w:w="2193"/>
        <w:gridCol w:w="2193"/>
        <w:gridCol w:w="2193"/>
      </w:tblGrid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рамках НИР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«Нейросенсорная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тугоухость»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30.04.2021</w:t>
              <w:br/>
              <w:t xml:space="preserve">15:00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переходный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30.04.2021</w:t>
              <w:br/>
              <w:t xml:space="preserve">15:00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5.41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48.6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0.93160814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89.8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14.02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58.9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0.05608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0.12618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8.25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4.6967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Синусовая брадикардия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Отклонение электрической оси сердца влево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Гипертрофия миокарда обоих желудочков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дифференцировка на слои частично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бифуркации ОСА слева визуализирутся полуконцентрическая гетерогенные АСБ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преобладанием гиперэхогенного компонента с переходом на устье ВСА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стеноз в области бифуркации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40-45 %,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ВСА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=3,7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 в устье не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на Лоджик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Спиральная компьютерная томография головы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серии полученных томограмм признаков свежеизлившейся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либо данных за гематому не получено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деструктивных и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травматических изменений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Срединные структуры не смещены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белом веществе на уровне семиовальных центров обоих полушарий отмечаются единичные гиподенсивные очаги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объемного воздействия на ликворопроводящую систему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Боковые желудочки расширены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деформированы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смещены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третий желудочек расширен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четвертый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Субарахноидальное пространство умерено расширено по конвекситальной поверхности больших полушарий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ходу латеральных борозд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Базальные цистернальные пространства не деформированы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Зрительные нервы дифференцированы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ретробульбарная клетчатка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мозжечка выше большого затылочного отверстия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образований в ретробульбарной клетчатке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Краниовертебральный переход 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Определяется частичное обызвествление стенок интракраниальных отделов ВСА на уровне сифона и 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ангиоэнцефалопатии с наличием сосудистых очагов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сочетанной гидроцефалии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Спиральная компьютерная томография головы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ангиоэнцефалопатии с наличием сосудистых очагов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сочетанной гидроцефалии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Индапамид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апроваск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фенибут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бетагистин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  <w:br/>
        <w:t xml:space="preserve">Релиум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на ночь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Мексидол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Мильгамма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Супратин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находился на стационарном лечении с диагнозом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I67.4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Гипертензивная энцефалопатия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вертебро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базилярная недостаточность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очень 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Сахарный диабет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 целевой уровень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HbA1c &lt; 7,0%.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нейрометаболическая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дообслелован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регрессировала неврологическая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 даны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Избегать физического и нервно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психического перенапряжения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!!!</w:t>
        <w:br/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диеты с ограничением употребления поваренной соли и насыщенных жиров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обогащенной богатыми клетчаткой фруктами и овощами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Регулярная физическая нагрузка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быстрая ходьба 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Постоянный контроль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Целевое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130\80+\-10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 не реже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приём следующих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антигипертензивная и сахароснижающая терапия в прежнем объеме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фенибут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наблюдение у терапевта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восстановлена полностью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домой Лист нетрудоспособности выдан Предыдущий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399891567343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Закрыт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труду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