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05FE9EA8" w:rsidR="00386755" w:rsidRPr="0029305A" w:rsidRDefault="0029305A" w:rsidP="0029305A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194011" wp14:editId="5F379837">
            <wp:extent cx="2916767" cy="1790065"/>
            <wp:effectExtent l="0" t="0" r="29845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29305A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7075C"/>
    <w:rsid w:val="001F6232"/>
    <w:rsid w:val="00261C9F"/>
    <w:rsid w:val="0029305A"/>
    <w:rsid w:val="00336879"/>
    <w:rsid w:val="00386755"/>
    <w:rsid w:val="00460DF0"/>
    <w:rsid w:val="006F26E3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197878292159"/>
          <c:y val="0.158327854649237"/>
          <c:w val="0.671056867891514"/>
          <c:h val="0.5560262976836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Sheet1!$C$59</c:f>
              <c:strCache>
                <c:ptCount val="1"/>
                <c:pt idx="0">
                  <c:v>Dividend (LHS)</c:v>
                </c:pt>
              </c:strCache>
            </c:strRef>
          </c:tx>
          <c:spPr>
            <a:solidFill>
              <a:srgbClr val="FFC000"/>
            </a:solidFill>
            <a:ln w="9525" cap="flat" cmpd="sng" algn="ctr">
              <a:noFill/>
              <a:prstDash val="solid"/>
            </a:ln>
            <a:effectLst/>
          </c:spPr>
          <c:invertIfNegative val="0"/>
          <c:dLbls>
            <c:dLbl>
              <c:idx val="1"/>
              <c:layout>
                <c:manualLayout>
                  <c:x val="-0.00444018218032524"/>
                  <c:y val="0.024112661188156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Sheet1!$B$60:$B$62</c:f>
              <c:numCache>
                <c:formatCode>General</c:formatCode>
                <c:ptCount val="3"/>
                <c:pt idx="0">
                  <c:v>2012.0</c:v>
                </c:pt>
                <c:pt idx="1">
                  <c:v>2013.0</c:v>
                </c:pt>
                <c:pt idx="2">
                  <c:v>2014.0</c:v>
                </c:pt>
              </c:numCache>
            </c:numRef>
          </c:cat>
          <c:val>
            <c:numRef>
              <c:f>Sheet1!$C$60:$C$62</c:f>
              <c:numCache>
                <c:formatCode>General</c:formatCode>
                <c:ptCount val="3"/>
                <c:pt idx="0">
                  <c:v>4.5</c:v>
                </c:pt>
                <c:pt idx="1">
                  <c:v>5.75</c:v>
                </c:pt>
                <c:pt idx="2">
                  <c:v>6.0</c:v>
                </c:pt>
              </c:numCache>
            </c:numRef>
          </c:val>
        </c:ser>
        <c:ser>
          <c:idx val="1"/>
          <c:order val="1"/>
          <c:tx>
            <c:strRef>
              <c:f>Sheet1!$D$59</c:f>
              <c:strCache>
                <c:ptCount val="1"/>
                <c:pt idx="0">
                  <c:v>EPS (LHS)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 w="9525" cap="flat" cmpd="sng" algn="ctr">
              <a:noFill/>
              <a:prstDash val="solid"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Sheet1!$B$60:$B$62</c:f>
              <c:numCache>
                <c:formatCode>General</c:formatCode>
                <c:ptCount val="3"/>
                <c:pt idx="0">
                  <c:v>2012.0</c:v>
                </c:pt>
                <c:pt idx="1">
                  <c:v>2013.0</c:v>
                </c:pt>
                <c:pt idx="2">
                  <c:v>2014.0</c:v>
                </c:pt>
              </c:numCache>
            </c:numRef>
          </c:cat>
          <c:val>
            <c:numRef>
              <c:f>Sheet1!$D$60:$D$62</c:f>
              <c:numCache>
                <c:formatCode>0.00</c:formatCode>
                <c:ptCount val="3"/>
                <c:pt idx="0">
                  <c:v>27.48</c:v>
                </c:pt>
                <c:pt idx="1">
                  <c:v>32.1</c:v>
                </c:pt>
                <c:pt idx="2">
                  <c:v>29.15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081948584"/>
        <c:axId val="2030120472"/>
      </c:barChart>
      <c:lineChart>
        <c:grouping val="standard"/>
        <c:varyColors val="0"/>
        <c:ser>
          <c:idx val="2"/>
          <c:order val="2"/>
          <c:tx>
            <c:strRef>
              <c:f>Sheet1!$E$59</c:f>
              <c:strCache>
                <c:ptCount val="1"/>
                <c:pt idx="0">
                  <c:v>Payout (RHS)</c:v>
                </c:pt>
              </c:strCache>
            </c:strRef>
          </c:tx>
          <c:spPr>
            <a:ln w="19050">
              <a:solidFill>
                <a:schemeClr val="tx1">
                  <a:lumMod val="65000"/>
                  <a:lumOff val="35000"/>
                </a:schemeClr>
              </a:solidFill>
            </a:ln>
          </c:spPr>
          <c:marker>
            <c:symbol val="diamond"/>
            <c:size val="5"/>
            <c:spPr>
              <a:solidFill>
                <a:schemeClr val="tx2"/>
              </a:solidFill>
              <a:ln w="19050">
                <a:solidFill>
                  <a:schemeClr val="tx1">
                    <a:lumMod val="65000"/>
                    <a:lumOff val="3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0.115322719083658"/>
                  <c:y val="0.075397158788044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928386154602948"/>
                  <c:y val="0.063965479023171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577743446626135"/>
                  <c:y val="-0.1115687462144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Sheet1!$B$60:$B$62</c:f>
              <c:numCache>
                <c:formatCode>General</c:formatCode>
                <c:ptCount val="3"/>
                <c:pt idx="0">
                  <c:v>2012.0</c:v>
                </c:pt>
                <c:pt idx="1">
                  <c:v>2013.0</c:v>
                </c:pt>
                <c:pt idx="2">
                  <c:v>2014.0</c:v>
                </c:pt>
              </c:numCache>
            </c:numRef>
          </c:cat>
          <c:val>
            <c:numRef>
              <c:f>Sheet1!$E$60:$E$62</c:f>
              <c:numCache>
                <c:formatCode>#,##0.00</c:formatCode>
                <c:ptCount val="3"/>
                <c:pt idx="0">
                  <c:v>0.190332969432314</c:v>
                </c:pt>
                <c:pt idx="1">
                  <c:v>0.20820015576324</c:v>
                </c:pt>
                <c:pt idx="2">
                  <c:v>0.239238421955403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0194072"/>
        <c:axId val="2081941160"/>
      </c:lineChart>
      <c:catAx>
        <c:axId val="2081948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30120472"/>
        <c:crosses val="autoZero"/>
        <c:auto val="1"/>
        <c:lblAlgn val="ctr"/>
        <c:lblOffset val="100"/>
        <c:noMultiLvlLbl val="0"/>
      </c:catAx>
      <c:valAx>
        <c:axId val="20301204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Dividend and EPS (Rs)</a:t>
                </a: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81948584"/>
        <c:crosses val="autoZero"/>
        <c:crossBetween val="between"/>
      </c:valAx>
      <c:valAx>
        <c:axId val="2081941160"/>
        <c:scaling>
          <c:orientation val="minMax"/>
          <c:min val="0.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Dividend payout ratio</a:t>
                </a:r>
              </a:p>
            </c:rich>
          </c:tx>
          <c:layout>
            <c:manualLayout>
              <c:xMode val="edge"/>
              <c:yMode val="edge"/>
              <c:x val="0.942532719978059"/>
              <c:y val="0.130072615923009"/>
            </c:manualLayout>
          </c:layout>
          <c:overlay val="0"/>
        </c:title>
        <c:numFmt formatCode="0%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30194072"/>
        <c:crosses val="max"/>
        <c:crossBetween val="between"/>
      </c:valAx>
      <c:catAx>
        <c:axId val="20301940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2081941160"/>
        <c:crosses val="autoZero"/>
        <c:auto val="1"/>
        <c:lblAlgn val="ctr"/>
        <c:lblOffset val="100"/>
        <c:noMultiLvlLbl val="0"/>
      </c:catAx>
    </c:plotArea>
    <c:legend>
      <c:legendPos val="b"/>
      <c:layout>
        <c:manualLayout>
          <c:xMode val="edge"/>
          <c:yMode val="edge"/>
          <c:x val="0.00267184956310841"/>
          <c:y val="0.800547736962744"/>
          <c:w val="0.997328115855158"/>
          <c:h val="0.139433498414508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0.91075</cdr:y>
    </cdr:from>
    <cdr:to>
      <cdr:x>0</cdr:x>
      <cdr:y>0.91125</cdr:y>
    </cdr:to>
    <cdr:sp macro="" textlink="">
      <cdr:nvSpPr>
        <cdr:cNvPr id="3" name="Text Box 19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2219324"/>
          <a:ext cx="3305175" cy="2190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Graph1: Peer comparison of Price/ Earnings ratio</a:t>
          </a:r>
        </a:p>
      </cdr:txBody>
    </cdr:sp>
  </cdr:relSizeAnchor>
  <cdr:relSizeAnchor xmlns:cdr="http://schemas.openxmlformats.org/drawingml/2006/chartDrawing">
    <cdr:from>
      <cdr:x>0</cdr:x>
      <cdr:y>0.89857</cdr:y>
    </cdr:from>
    <cdr:to>
      <cdr:x>1</cdr:x>
      <cdr:y>0.97396</cdr:y>
    </cdr:to>
    <cdr:sp macro="" textlink="">
      <cdr:nvSpPr>
        <cdr:cNvPr id="7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1643302"/>
          <a:ext cx="2581275" cy="1378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900">
              <a:effectLst/>
              <a:latin typeface="Calibri"/>
            </a:rPr>
            <a:t>Graph xx: Dividend Payout and EPS </a:t>
          </a:r>
          <a:endParaRPr lang="en-GB" sz="900"/>
        </a:p>
      </cdr:txBody>
    </cdr:sp>
  </cdr:relSizeAnchor>
  <cdr:relSizeAnchor xmlns:cdr="http://schemas.openxmlformats.org/drawingml/2006/chartDrawing">
    <cdr:from>
      <cdr:x>0.00084</cdr:x>
      <cdr:y>0</cdr:y>
    </cdr:from>
    <cdr:to>
      <cdr:x>1</cdr:x>
      <cdr:y>0.11008</cdr:y>
    </cdr:to>
    <cdr:sp macro="" textlink="">
      <cdr:nvSpPr>
        <cdr:cNvPr id="4" name="Rectangle 3"/>
        <cdr:cNvSpPr>
          <a:spLocks xmlns:a="http://schemas.openxmlformats.org/drawingml/2006/main"/>
        </cdr:cNvSpPr>
      </cdr:nvSpPr>
      <cdr:spPr>
        <a:xfrm xmlns:a="http://schemas.openxmlformats.org/drawingml/2006/main">
          <a:off x="2540" y="0"/>
          <a:ext cx="3007360" cy="216000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65000"/>
            <a:lumOff val="35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wrap="square" anchor="ctr"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>
            <a:lnSpc>
              <a:spcPct val="114000"/>
            </a:lnSpc>
            <a:spcAft>
              <a:spcPts val="900"/>
            </a:spcAft>
          </a:pPr>
          <a:r>
            <a:rPr lang="en-US" sz="1000" b="1">
              <a:solidFill>
                <a:srgbClr val="FFFFFF"/>
              </a:solidFill>
              <a:effectLst/>
              <a:ea typeface="Calibri"/>
              <a:cs typeface="Times New Roman"/>
            </a:rPr>
            <a:t>Dividend and Earnings</a:t>
          </a:r>
          <a:endParaRPr lang="en-IN" sz="1000">
            <a:effectLst/>
            <a:ea typeface="Calibri"/>
            <a:cs typeface="Times New Roman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2015-05-13T19:02:00Z</dcterms:created>
  <dcterms:modified xsi:type="dcterms:W3CDTF">2015-06-13T10:50:00Z</dcterms:modified>
</cp:coreProperties>
</file>