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21B45" w14:textId="0261476B" w:rsidR="00386755" w:rsidRPr="00E13863" w:rsidRDefault="00E13863" w:rsidP="00E13863">
      <w:pPr>
        <w:jc w:val="center"/>
      </w:pPr>
      <w:bookmarkStart w:id="0" w:name="_GoBack"/>
      <w:r>
        <w:rPr>
          <w:noProof/>
        </w:rPr>
        <w:drawing>
          <wp:inline distT="0" distB="0" distL="0" distR="0" wp14:anchorId="68FD97AE" wp14:editId="3BB7ECC2">
            <wp:extent cx="3069167" cy="1600200"/>
            <wp:effectExtent l="0" t="0" r="4445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86755" w:rsidRPr="00E13863" w:rsidSect="003867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6E3"/>
    <w:rsid w:val="001F6232"/>
    <w:rsid w:val="00261C9F"/>
    <w:rsid w:val="00336879"/>
    <w:rsid w:val="00386755"/>
    <w:rsid w:val="00460DF0"/>
    <w:rsid w:val="00515255"/>
    <w:rsid w:val="006F26E3"/>
    <w:rsid w:val="00A9530E"/>
    <w:rsid w:val="00B8489D"/>
    <w:rsid w:val="00BC7DE6"/>
    <w:rsid w:val="00C42414"/>
    <w:rsid w:val="00C531A0"/>
    <w:rsid w:val="00D32C2B"/>
    <w:rsid w:val="00D81D36"/>
    <w:rsid w:val="00DC6146"/>
    <w:rsid w:val="00E13863"/>
    <w:rsid w:val="00F8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A5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D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D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oleObject" Target="Macintosh%20HD:Applications:AMPPS:www:patool:phpdocx:template:MasterExcelFile.xlsx" TargetMode="External"/><Relationship Id="rId3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06349030377619"/>
          <c:y val="0.0494900268301648"/>
          <c:w val="0.765388107967345"/>
          <c:h val="0.692622329798486"/>
        </c:manualLayout>
      </c:layout>
      <c:barChart>
        <c:barDir val="col"/>
        <c:grouping val="clustered"/>
        <c:varyColors val="0"/>
        <c:ser>
          <c:idx val="3"/>
          <c:order val="0"/>
          <c:tx>
            <c:strRef>
              <c:f>Sheet1!$Q$109</c:f>
              <c:strCache>
                <c:ptCount val="1"/>
                <c:pt idx="0">
                  <c:v>ED Remuneration</c:v>
                </c:pt>
              </c:strCache>
            </c:strRef>
          </c:tx>
          <c:spPr>
            <a:solidFill>
              <a:srgbClr val="EB641B"/>
            </a:solidFill>
          </c:spPr>
          <c:invertIfNegative val="0"/>
          <c:cat>
            <c:strRef>
              <c:f>Sheet1!$P$110:$P$114</c:f>
              <c:strCache>
                <c:ptCount val="5"/>
                <c:pt idx="0">
                  <c:v>FY10/11</c:v>
                </c:pt>
                <c:pt idx="1">
                  <c:v>FY11/12</c:v>
                </c:pt>
                <c:pt idx="2">
                  <c:v>FY12/13</c:v>
                </c:pt>
                <c:pt idx="3">
                  <c:v>FY13/14</c:v>
                </c:pt>
                <c:pt idx="4">
                  <c:v>FY14/15</c:v>
                </c:pt>
              </c:strCache>
            </c:strRef>
          </c:cat>
          <c:val>
            <c:numRef>
              <c:f>Sheet1!$Q$110:$Q$114</c:f>
              <c:numCache>
                <c:formatCode>General</c:formatCode>
                <c:ptCount val="5"/>
                <c:pt idx="0">
                  <c:v>6.0</c:v>
                </c:pt>
                <c:pt idx="1">
                  <c:v>5.0</c:v>
                </c:pt>
                <c:pt idx="2">
                  <c:v>4.0</c:v>
                </c:pt>
                <c:pt idx="3">
                  <c:v>3.0</c:v>
                </c:pt>
                <c:pt idx="4">
                  <c:v>2.0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3263656"/>
        <c:axId val="2071089208"/>
      </c:barChart>
      <c:lineChart>
        <c:grouping val="standard"/>
        <c:varyColors val="0"/>
        <c:ser>
          <c:idx val="4"/>
          <c:order val="1"/>
          <c:tx>
            <c:strRef>
              <c:f>Sheet1!$R$109</c:f>
              <c:strCache>
                <c:ptCount val="1"/>
                <c:pt idx="0">
                  <c:v>Indexed TSR</c:v>
                </c:pt>
              </c:strCache>
            </c:strRef>
          </c:tx>
          <c:spPr>
            <a:ln>
              <a:solidFill>
                <a:srgbClr val="464646"/>
              </a:solidFill>
            </a:ln>
          </c:spPr>
          <c:marker>
            <c:symbol val="none"/>
          </c:marker>
          <c:cat>
            <c:strRef>
              <c:f>Sheet1!$P$110:$P$114</c:f>
              <c:strCache>
                <c:ptCount val="5"/>
                <c:pt idx="0">
                  <c:v>FY10/11</c:v>
                </c:pt>
                <c:pt idx="1">
                  <c:v>FY11/12</c:v>
                </c:pt>
                <c:pt idx="2">
                  <c:v>FY12/13</c:v>
                </c:pt>
                <c:pt idx="3">
                  <c:v>FY13/14</c:v>
                </c:pt>
                <c:pt idx="4">
                  <c:v>FY14/15</c:v>
                </c:pt>
              </c:strCache>
            </c:strRef>
          </c:cat>
          <c:val>
            <c:numRef>
              <c:f>Sheet1!$R$110:$R$114</c:f>
              <c:numCache>
                <c:formatCode>General</c:formatCode>
                <c:ptCount val="5"/>
                <c:pt idx="0">
                  <c:v>111.3821138211382</c:v>
                </c:pt>
                <c:pt idx="1">
                  <c:v>116.260162601626</c:v>
                </c:pt>
                <c:pt idx="2">
                  <c:v>122.7642276422764</c:v>
                </c:pt>
                <c:pt idx="3">
                  <c:v>119.5121951219512</c:v>
                </c:pt>
                <c:pt idx="4">
                  <c:v>123.5772357723577</c:v>
                </c:pt>
              </c:numCache>
            </c:numRef>
          </c:val>
          <c:smooth val="0"/>
        </c:ser>
        <c:ser>
          <c:idx val="5"/>
          <c:order val="2"/>
          <c:tx>
            <c:strRef>
              <c:f>Sheet1!$S$109</c:f>
              <c:strCache>
                <c:ptCount val="1"/>
                <c:pt idx="0">
                  <c:v>Net Profit</c:v>
                </c:pt>
              </c:strCache>
            </c:strRef>
          </c:tx>
          <c:spPr>
            <a:ln>
              <a:solidFill>
                <a:srgbClr val="FFD200"/>
              </a:solidFill>
            </a:ln>
          </c:spPr>
          <c:marker>
            <c:symbol val="none"/>
          </c:marker>
          <c:cat>
            <c:strRef>
              <c:f>Sheet1!$P$110:$P$114</c:f>
              <c:strCache>
                <c:ptCount val="5"/>
                <c:pt idx="0">
                  <c:v>FY10/11</c:v>
                </c:pt>
                <c:pt idx="1">
                  <c:v>FY11/12</c:v>
                </c:pt>
                <c:pt idx="2">
                  <c:v>FY12/13</c:v>
                </c:pt>
                <c:pt idx="3">
                  <c:v>FY13/14</c:v>
                </c:pt>
                <c:pt idx="4">
                  <c:v>FY14/15</c:v>
                </c:pt>
              </c:strCache>
            </c:strRef>
          </c:cat>
          <c:val>
            <c:numRef>
              <c:f>Sheet1!$S$110:$S$114</c:f>
              <c:numCache>
                <c:formatCode>General</c:formatCode>
                <c:ptCount val="5"/>
                <c:pt idx="0">
                  <c:v>100.0</c:v>
                </c:pt>
                <c:pt idx="1">
                  <c:v>73.2050807568877</c:v>
                </c:pt>
                <c:pt idx="2">
                  <c:v>58.74010519681993</c:v>
                </c:pt>
                <c:pt idx="3">
                  <c:v>49.53487812212205</c:v>
                </c:pt>
                <c:pt idx="4">
                  <c:v>43.09690811052556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1176840"/>
        <c:axId val="2095822536"/>
      </c:lineChart>
      <c:catAx>
        <c:axId val="21132636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808080"/>
            </a:solidFill>
            <a:prstDash val="solid"/>
          </a:ln>
        </c:spPr>
        <c:txPr>
          <a:bodyPr/>
          <a:lstStyle/>
          <a:p>
            <a:pPr>
              <a:defRPr sz="900"/>
            </a:pPr>
            <a:endParaRPr lang="en-US"/>
          </a:p>
        </c:txPr>
        <c:crossAx val="2071089208"/>
        <c:crossesAt val="0.0"/>
        <c:auto val="1"/>
        <c:lblAlgn val="ctr"/>
        <c:lblOffset val="0"/>
        <c:noMultiLvlLbl val="0"/>
      </c:catAx>
      <c:valAx>
        <c:axId val="2071089208"/>
        <c:scaling>
          <c:orientation val="minMax"/>
          <c:max val="10.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en-GB" sz="900"/>
                  <a:t>ED Remuneration (</a:t>
                </a:r>
                <a:r>
                  <a:rPr lang="en-GB" sz="900">
                    <a:latin typeface="Rupee Foradian"/>
                  </a:rPr>
                  <a:t>`</a:t>
                </a:r>
                <a:r>
                  <a:rPr lang="en-GB" sz="900"/>
                  <a:t> Crore)</a:t>
                </a:r>
              </a:p>
            </c:rich>
          </c:tx>
          <c:layout>
            <c:manualLayout>
              <c:xMode val="edge"/>
              <c:yMode val="edge"/>
              <c:x val="0.0"/>
              <c:y val="0.14476936810336"/>
            </c:manualLayout>
          </c:layout>
          <c:overlay val="0"/>
        </c:title>
        <c:numFmt formatCode="#,##0" sourceLinked="0"/>
        <c:majorTickMark val="out"/>
        <c:minorTickMark val="none"/>
        <c:tickLblPos val="nextTo"/>
        <c:spPr>
          <a:ln w="3175">
            <a:solidFill>
              <a:srgbClr val="808080"/>
            </a:solidFill>
            <a:prstDash val="solid"/>
          </a:ln>
        </c:spPr>
        <c:txPr>
          <a:bodyPr/>
          <a:lstStyle/>
          <a:p>
            <a:pPr>
              <a:defRPr sz="900"/>
            </a:pPr>
            <a:endParaRPr lang="en-US"/>
          </a:p>
        </c:txPr>
        <c:crossAx val="2113263656"/>
        <c:crosses val="autoZero"/>
        <c:crossBetween val="between"/>
      </c:valAx>
      <c:valAx>
        <c:axId val="209582253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111176840"/>
        <c:crosses val="max"/>
        <c:crossBetween val="between"/>
      </c:valAx>
      <c:catAx>
        <c:axId val="211117684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095822536"/>
        <c:crosses val="autoZero"/>
        <c:auto val="1"/>
        <c:lblAlgn val="ctr"/>
        <c:lblOffset val="100"/>
        <c:noMultiLvlLbl val="0"/>
      </c:catAx>
      <c:spPr>
        <a:solidFill>
          <a:srgbClr val="FFFFFF"/>
        </a:solidFill>
        <a:ln w="25400">
          <a:noFill/>
        </a:ln>
      </c:spPr>
    </c:plotArea>
    <c:legend>
      <c:legendPos val="b"/>
      <c:layout>
        <c:manualLayout>
          <c:xMode val="edge"/>
          <c:yMode val="edge"/>
          <c:x val="0.0"/>
          <c:y val="0.786550021091113"/>
          <c:w val="1.0"/>
          <c:h val="0.179967836051744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00"/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0.00726</cdr:x>
      <cdr:y>0.88893</cdr:y>
    </cdr:from>
    <cdr:to>
      <cdr:x>0.99967</cdr:x>
      <cdr:y>0.99677</cdr:y>
    </cdr:to>
    <cdr:sp macro="" textlink="">
      <cdr:nvSpPr>
        <cdr:cNvPr id="2" name="Text Box 20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5867" y="1777527"/>
          <a:ext cx="3535942" cy="21563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xtLst xmlns:a="http://schemas.openxmlformats.org/drawingml/2006/main"/>
      </cdr:spPr>
      <cdr:txBody>
        <a:bodyPr xmlns:a="http://schemas.openxmlformats.org/drawingml/2006/main" rot="0" vert="horz" wrap="square" lIns="0" tIns="45720" rIns="0" bIns="45720" anchor="t" anchorCtr="0" upright="1">
          <a:noAutofit/>
        </a:bodyPr>
        <a:lstStyle xmlns:a="http://schemas.openxmlformats.org/drawingml/2006/main"/>
        <a:p xmlns:a="http://schemas.openxmlformats.org/drawingml/2006/main">
          <a:pPr algn="ctr"/>
          <a:r>
            <a:rPr lang="en-GB" sz="900"/>
            <a:t>Graph xx: Executive compensation vs. Total shareholders return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Custom 3">
    <a:dk1>
      <a:sysClr val="windowText" lastClr="000000"/>
    </a:dk1>
    <a:lt1>
      <a:sysClr val="window" lastClr="FFFFFF"/>
    </a:lt1>
    <a:dk2>
      <a:srgbClr val="464646"/>
    </a:dk2>
    <a:lt2>
      <a:srgbClr val="DEF5FA"/>
    </a:lt2>
    <a:accent1>
      <a:srgbClr val="00B050"/>
    </a:accent1>
    <a:accent2>
      <a:srgbClr val="DA1F28"/>
    </a:accent2>
    <a:accent3>
      <a:srgbClr val="EB641B"/>
    </a:accent3>
    <a:accent4>
      <a:srgbClr val="39639D"/>
    </a:accent4>
    <a:accent5>
      <a:srgbClr val="FFD200"/>
    </a:accent5>
    <a:accent6>
      <a:srgbClr val="1E1458"/>
    </a:accent6>
    <a:hlink>
      <a:srgbClr val="FF8119"/>
    </a:hlink>
    <a:folHlink>
      <a:srgbClr val="44B9E8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GKM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Singh Panwar</dc:creator>
  <cp:keywords/>
  <dc:description/>
  <cp:lastModifiedBy>Ravindra Singh Panwar</cp:lastModifiedBy>
  <cp:revision>47</cp:revision>
  <dcterms:created xsi:type="dcterms:W3CDTF">2015-05-13T19:02:00Z</dcterms:created>
  <dcterms:modified xsi:type="dcterms:W3CDTF">2015-06-09T18:20:00Z</dcterms:modified>
</cp:coreProperties>
</file>