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2F4244A1" w:rsidR="00386755" w:rsidRPr="00515255" w:rsidRDefault="00515255" w:rsidP="00515255">
      <w:pPr>
        <w:jc w:val="center"/>
      </w:pPr>
      <w:r>
        <w:rPr>
          <w:noProof/>
        </w:rPr>
        <w:drawing>
          <wp:inline distT="0" distB="0" distL="0" distR="0" wp14:anchorId="1C4F923B" wp14:editId="13B1C6F1">
            <wp:extent cx="2628900" cy="20574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515255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819E9"/>
    <w:rsid w:val="001F6232"/>
    <w:rsid w:val="00261C9F"/>
    <w:rsid w:val="00336879"/>
    <w:rsid w:val="00386755"/>
    <w:rsid w:val="00460DF0"/>
    <w:rsid w:val="00515255"/>
    <w:rsid w:val="00557CE6"/>
    <w:rsid w:val="006A5579"/>
    <w:rsid w:val="006F26E3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8996803415138"/>
          <c:y val="0.134181304260044"/>
          <c:w val="0.57105017514834"/>
          <c:h val="0.664071923136306"/>
        </c:manualLayout>
      </c:layout>
      <c:doughnutChart>
        <c:varyColors val="1"/>
        <c:ser>
          <c:idx val="1"/>
          <c:order val="0"/>
          <c:tx>
            <c:strRef>
              <c:f>Sheet1!$Q$82</c:f>
              <c:strCache>
                <c:ptCount val="1"/>
                <c:pt idx="0">
                  <c:v>2015</c:v>
                </c:pt>
              </c:strCache>
            </c:strRef>
          </c:tx>
          <c:dPt>
            <c:idx val="0"/>
            <c:bubble3D val="0"/>
            <c:spPr>
              <a:solidFill>
                <a:srgbClr val="464646"/>
              </a:solidFill>
            </c:spPr>
          </c:dPt>
          <c:dPt>
            <c:idx val="1"/>
            <c:bubble3D val="0"/>
            <c:spPr>
              <a:solidFill>
                <a:srgbClr val="D9D9D9"/>
              </a:solidFill>
            </c:spPr>
          </c:dPt>
          <c:dPt>
            <c:idx val="2"/>
            <c:bubble3D val="0"/>
            <c:spPr>
              <a:solidFill>
                <a:srgbClr val="FFD200"/>
              </a:solidFill>
            </c:spPr>
          </c:dPt>
          <c:dLbls>
            <c:dLbl>
              <c:idx val="0"/>
              <c:numFmt formatCode="0%" sourceLinked="0"/>
              <c:spPr/>
              <c:txPr>
                <a:bodyPr/>
                <a:lstStyle/>
                <a:p>
                  <a:pPr>
                    <a:defRPr lang="en-IN" sz="9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IN"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Sheet1!$P$83:$P$85</c:f>
              <c:strCache>
                <c:ptCount val="3"/>
                <c:pt idx="0">
                  <c:v>Audit</c:v>
                </c:pt>
                <c:pt idx="1">
                  <c:v>Audit-Related</c:v>
                </c:pt>
                <c:pt idx="2">
                  <c:v>Non Audit</c:v>
                </c:pt>
              </c:strCache>
            </c:strRef>
          </c:cat>
          <c:val>
            <c:numRef>
              <c:f>Sheet1!$Q$83:$Q$85</c:f>
              <c:numCache>
                <c:formatCode>0.0%</c:formatCode>
                <c:ptCount val="3"/>
                <c:pt idx="0">
                  <c:v>0.5</c:v>
                </c:pt>
                <c:pt idx="1">
                  <c:v>0.3</c:v>
                </c:pt>
                <c:pt idx="2">
                  <c:v>0.2</c:v>
                </c:pt>
              </c:numCache>
            </c:numRef>
          </c:val>
        </c:ser>
        <c:ser>
          <c:idx val="0"/>
          <c:order val="1"/>
          <c:tx>
            <c:strRef>
              <c:f>Sheet1!$R$82</c:f>
              <c:strCache>
                <c:ptCount val="1"/>
                <c:pt idx="0">
                  <c:v>2014</c:v>
                </c:pt>
              </c:strCache>
            </c:strRef>
          </c:tx>
          <c:spPr>
            <a:ln w="1270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rgbClr val="464646"/>
              </a:solidFill>
              <a:ln w="12700">
                <a:solidFill>
                  <a:schemeClr val="bg1"/>
                </a:solidFill>
              </a:ln>
            </c:spPr>
          </c:dPt>
          <c:dPt>
            <c:idx val="1"/>
            <c:bubble3D val="0"/>
            <c:spPr>
              <a:solidFill>
                <a:srgbClr val="D9D9D9"/>
              </a:solidFill>
              <a:ln w="12700">
                <a:solidFill>
                  <a:schemeClr val="bg1"/>
                </a:solidFill>
              </a:ln>
            </c:spPr>
          </c:dPt>
          <c:dPt>
            <c:idx val="2"/>
            <c:bubble3D val="0"/>
            <c:spPr>
              <a:solidFill>
                <a:srgbClr val="FFD200"/>
              </a:solidFill>
              <a:ln w="12700">
                <a:solidFill>
                  <a:schemeClr val="bg1"/>
                </a:solidFill>
              </a:ln>
            </c:spPr>
          </c:dPt>
          <c:dLbls>
            <c:dLbl>
              <c:idx val="0"/>
              <c:numFmt formatCode="0%" sourceLinked="0"/>
              <c:spPr/>
              <c:txPr>
                <a:bodyPr/>
                <a:lstStyle/>
                <a:p>
                  <a:pPr>
                    <a:defRPr lang="en-IN" sz="9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numFmt formatCode="0%" sourceLinked="0"/>
              <c:spPr/>
              <c:txPr>
                <a:bodyPr/>
                <a:lstStyle/>
                <a:p>
                  <a:pPr>
                    <a:defRPr lang="en-IN" sz="900">
                      <a:solidFill>
                        <a:sysClr val="windowText" lastClr="000000"/>
                      </a:solidFill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0103758169934641"/>
                  <c:y val="0.012060778727445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"/>
                  <c:y val="0.0196560196560197"/>
                </c:manualLayout>
              </c:layout>
              <c:numFmt formatCode="0%" sourceLinked="0"/>
              <c:spPr/>
              <c:txPr>
                <a:bodyPr/>
                <a:lstStyle/>
                <a:p>
                  <a:pPr>
                    <a:defRPr lang="en-IN" sz="9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IN"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Sheet1!$P$83:$P$85</c:f>
              <c:strCache>
                <c:ptCount val="3"/>
                <c:pt idx="0">
                  <c:v>Audit</c:v>
                </c:pt>
                <c:pt idx="1">
                  <c:v>Audit-Related</c:v>
                </c:pt>
                <c:pt idx="2">
                  <c:v>Non Audit</c:v>
                </c:pt>
              </c:strCache>
            </c:strRef>
          </c:cat>
          <c:val>
            <c:numRef>
              <c:f>Sheet1!$R$83:$R$85</c:f>
              <c:numCache>
                <c:formatCode>0.0%</c:formatCode>
                <c:ptCount val="3"/>
                <c:pt idx="0">
                  <c:v>0.375</c:v>
                </c:pt>
                <c:pt idx="1">
                  <c:v>0.5</c:v>
                </c:pt>
                <c:pt idx="2">
                  <c:v>0.125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130"/>
        <c:holeSize val="50"/>
      </c:doughnutChart>
    </c:plotArea>
    <c:legend>
      <c:legendPos val="r"/>
      <c:layout>
        <c:manualLayout>
          <c:xMode val="edge"/>
          <c:yMode val="edge"/>
          <c:x val="0.0"/>
          <c:y val="0.778641975308642"/>
          <c:w val="1.0"/>
          <c:h val="0.190493648293963"/>
        </c:manualLayout>
      </c:layout>
      <c:overlay val="0"/>
      <c:txPr>
        <a:bodyPr/>
        <a:lstStyle/>
        <a:p>
          <a:pPr>
            <a:defRPr lang="en-IN" spc="0" baseline="0"/>
          </a:pPr>
          <a:endParaRPr lang="en-US"/>
        </a:p>
      </c:txPr>
    </c:legend>
    <c:plotVisOnly val="1"/>
    <c:dispBlanksAs val="zero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0.88889</cdr:y>
    </cdr:from>
    <cdr:to>
      <cdr:x>0.99987</cdr:x>
      <cdr:y>0.96889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-2565400" y="1828800"/>
          <a:ext cx="2628558" cy="1645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900">
              <a:effectLst/>
              <a:latin typeface="+mn-lt"/>
              <a:ea typeface="+mn-ea"/>
              <a:cs typeface="+mn-cs"/>
            </a:rPr>
            <a:t>Graph xx: Remuneration Components</a:t>
          </a:r>
          <a:endParaRPr lang="en-GB" sz="900">
            <a:effectLst/>
            <a:latin typeface="+mn-lt"/>
            <a:ea typeface="+mn-ea"/>
            <a:cs typeface="+mn-cs"/>
          </a:endParaRPr>
        </a:p>
      </cdr:txBody>
    </cdr:sp>
  </cdr:relSizeAnchor>
  <cdr:relSizeAnchor xmlns:cdr="http://schemas.openxmlformats.org/drawingml/2006/chartDrawing">
    <cdr:from>
      <cdr:x>0.75321</cdr:x>
      <cdr:y>0.71598</cdr:y>
    </cdr:from>
    <cdr:to>
      <cdr:x>1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809875" y="25717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0.118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0" y="0"/>
          <a:ext cx="2447925" cy="248400"/>
        </a:xfrm>
        <a:prstGeom xmlns:a="http://schemas.openxmlformats.org/drawingml/2006/main" prst="rect">
          <a:avLst/>
        </a:prstGeom>
        <a:solidFill xmlns:a="http://schemas.openxmlformats.org/drawingml/2006/main">
          <a:srgbClr val="464646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anchor="ctr"/>
        <a:lstStyle xmlns:a="http://schemas.openxmlformats.org/drawingml/2006/main"/>
        <a:p xmlns:a="http://schemas.openxmlformats.org/drawingml/2006/main">
          <a:pPr algn="ctr"/>
          <a:r>
            <a:rPr lang="en-GB" sz="1000" b="1"/>
            <a:t>Remuneration components</a:t>
          </a:r>
        </a:p>
      </cdr:txBody>
    </cdr:sp>
  </cdr:relSizeAnchor>
  <cdr:relSizeAnchor xmlns:cdr="http://schemas.openxmlformats.org/drawingml/2006/chartDrawing">
    <cdr:from>
      <cdr:x>0.71814</cdr:x>
      <cdr:y>0.17328</cdr:y>
    </cdr:from>
    <cdr:to>
      <cdr:x>1</cdr:x>
      <cdr:y>0.30315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1757953" y="364760"/>
          <a:ext cx="689972" cy="2733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900"/>
            <a:t>FY14/15</a:t>
          </a:r>
        </a:p>
      </cdr:txBody>
    </cdr:sp>
  </cdr:relSizeAnchor>
  <cdr:relSizeAnchor xmlns:cdr="http://schemas.openxmlformats.org/drawingml/2006/chartDrawing">
    <cdr:from>
      <cdr:x>0.74708</cdr:x>
      <cdr:y>0.6182</cdr:y>
    </cdr:from>
    <cdr:to>
      <cdr:x>1</cdr:x>
      <cdr:y>0.74807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1828799" y="1301326"/>
          <a:ext cx="619125" cy="273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GB" sz="900"/>
            <a:t>FY13/14</a:t>
          </a:r>
        </a:p>
        <a:p xmlns:a="http://schemas.openxmlformats.org/drawingml/2006/main">
          <a:endParaRPr lang="en-GB" sz="900"/>
        </a:p>
        <a:p xmlns:a="http://schemas.openxmlformats.org/drawingml/2006/main">
          <a:endParaRPr lang="en-GB" sz="900"/>
        </a:p>
      </cdr:txBody>
    </cdr:sp>
  </cdr:relSizeAnchor>
  <cdr:relSizeAnchor xmlns:cdr="http://schemas.openxmlformats.org/drawingml/2006/chartDrawing">
    <cdr:from>
      <cdr:x>0.73496</cdr:x>
      <cdr:y>0.26941</cdr:y>
    </cdr:from>
    <cdr:to>
      <cdr:x>0.87311</cdr:x>
      <cdr:y>0.40269</cdr:y>
    </cdr:to>
    <cdr:cxnSp macro="">
      <cdr:nvCxnSpPr>
        <cdr:cNvPr id="7" name="Elbow Connector 6"/>
        <cdr:cNvCxnSpPr/>
      </cdr:nvCxnSpPr>
      <cdr:spPr>
        <a:xfrm xmlns:a="http://schemas.openxmlformats.org/drawingml/2006/main" flipH="1">
          <a:off x="2184143" y="641533"/>
          <a:ext cx="410554" cy="317373"/>
        </a:xfrm>
        <a:prstGeom xmlns:a="http://schemas.openxmlformats.org/drawingml/2006/main" prst="bentConnector3">
          <a:avLst>
            <a:gd name="adj1" fmla="val -1111"/>
          </a:avLst>
        </a:prstGeom>
        <a:ln xmlns:a="http://schemas.openxmlformats.org/drawingml/2006/main">
          <a:solidFill>
            <a:sysClr val="windowText" lastClr="000000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0.66776</cdr:x>
      <cdr:y>0.51384</cdr:y>
    </cdr:from>
    <cdr:to>
      <cdr:x>0.91244</cdr:x>
      <cdr:y>0.60612</cdr:y>
    </cdr:to>
    <cdr:cxnSp macro="">
      <cdr:nvCxnSpPr>
        <cdr:cNvPr id="9" name="Elbow Connector 8"/>
        <cdr:cNvCxnSpPr/>
      </cdr:nvCxnSpPr>
      <cdr:spPr>
        <a:xfrm xmlns:a="http://schemas.openxmlformats.org/drawingml/2006/main" rot="10800000">
          <a:off x="1984453" y="1223582"/>
          <a:ext cx="727140" cy="219741"/>
        </a:xfrm>
        <a:prstGeom xmlns:a="http://schemas.openxmlformats.org/drawingml/2006/main" prst="bentConnector3">
          <a:avLst>
            <a:gd name="adj1" fmla="val -187"/>
          </a:avLst>
        </a:prstGeom>
        <a:ln xmlns:a="http://schemas.openxmlformats.org/drawingml/2006/main">
          <a:solidFill>
            <a:sysClr val="windowText" lastClr="000000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40</cp:revision>
  <dcterms:created xsi:type="dcterms:W3CDTF">2015-05-13T19:02:00Z</dcterms:created>
  <dcterms:modified xsi:type="dcterms:W3CDTF">2015-06-14T12:25:00Z</dcterms:modified>
</cp:coreProperties>
</file>