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56A3FC27" w:rsidR="00386755" w:rsidRPr="00336879" w:rsidRDefault="004019DE" w:rsidP="004019DE">
      <w:pPr>
        <w:jc w:val="center"/>
      </w:pPr>
      <w:r>
        <w:rPr>
          <w:noProof/>
        </w:rPr>
        <w:drawing>
          <wp:inline distT="0" distB="0" distL="0" distR="0" wp14:anchorId="6C0D4041" wp14:editId="0431EE04">
            <wp:extent cx="3496733" cy="1936750"/>
            <wp:effectExtent l="0" t="0" r="889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336879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336879"/>
    <w:rsid w:val="00386755"/>
    <w:rsid w:val="004019DE"/>
    <w:rsid w:val="00460DF0"/>
    <w:rsid w:val="006F26E3"/>
    <w:rsid w:val="008421EB"/>
    <w:rsid w:val="00A9530E"/>
    <w:rsid w:val="00BC7DE6"/>
    <w:rsid w:val="00C42414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pa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192027692603554"/>
          <c:y val="0.134385725822734"/>
          <c:w val="0.846719160104987"/>
          <c:h val="0.71265495659196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Sheet1!$Q$82</c:f>
              <c:strCache>
                <c:ptCount val="1"/>
                <c:pt idx="0">
                  <c:v>Company Name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dLbls>
            <c:dLbl>
              <c:idx val="0"/>
              <c:layout>
                <c:manualLayout>
                  <c:x val="-0.0217096336499322"/>
                  <c:y val="0.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Sheet1!$P$83:$P$85</c:f>
              <c:strCache>
                <c:ptCount val="3"/>
                <c:pt idx="0">
                  <c:v>1 Year</c:v>
                </c:pt>
                <c:pt idx="1">
                  <c:v>3 Years</c:v>
                </c:pt>
                <c:pt idx="2">
                  <c:v>5 Years</c:v>
                </c:pt>
              </c:strCache>
            </c:strRef>
          </c:cat>
          <c:val>
            <c:numRef>
              <c:f>Sheet1!$Q$83:$Q$85</c:f>
              <c:numCache>
                <c:formatCode>0%</c:formatCode>
                <c:ptCount val="3"/>
                <c:pt idx="0">
                  <c:v>-0.183879093198992</c:v>
                </c:pt>
                <c:pt idx="1">
                  <c:v>-0.221989382232137</c:v>
                </c:pt>
                <c:pt idx="2">
                  <c:v>0.0</c:v>
                </c:pt>
              </c:numCache>
            </c:numRef>
          </c:val>
        </c:ser>
        <c:ser>
          <c:idx val="1"/>
          <c:order val="1"/>
          <c:tx>
            <c:strRef>
              <c:f>Sheet1!$R$82</c:f>
              <c:strCache>
                <c:ptCount val="1"/>
                <c:pt idx="0">
                  <c:v>S&amp;P CNX Nifty</c:v>
                </c:pt>
              </c:strCache>
            </c:strRef>
          </c:tx>
          <c:spPr>
            <a:solidFill>
              <a:schemeClr val="tx2">
                <a:lumMod val="40000"/>
                <a:lumOff val="6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ysClr val="windowText" lastClr="000000"/>
                    </a:solidFill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Sheet1!$P$83:$P$85</c:f>
              <c:strCache>
                <c:ptCount val="3"/>
                <c:pt idx="0">
                  <c:v>1 Year</c:v>
                </c:pt>
                <c:pt idx="1">
                  <c:v>3 Years</c:v>
                </c:pt>
                <c:pt idx="2">
                  <c:v>5 Years</c:v>
                </c:pt>
              </c:strCache>
            </c:strRef>
          </c:cat>
          <c:val>
            <c:numRef>
              <c:f>Sheet1!$R$83:$R$85</c:f>
              <c:numCache>
                <c:formatCode>0%</c:formatCode>
                <c:ptCount val="3"/>
                <c:pt idx="0">
                  <c:v>0.134330096182957</c:v>
                </c:pt>
                <c:pt idx="1">
                  <c:v>0.0629429288873788</c:v>
                </c:pt>
                <c:pt idx="2">
                  <c:v>0.165487722277489</c:v>
                </c:pt>
              </c:numCache>
            </c:numRef>
          </c:val>
        </c:ser>
        <c:ser>
          <c:idx val="2"/>
          <c:order val="2"/>
          <c:tx>
            <c:strRef>
              <c:f>Sheet1!$S$82</c:f>
              <c:strCache>
                <c:ptCount val="1"/>
                <c:pt idx="0">
                  <c:v>CNX Finance</c:v>
                </c:pt>
              </c:strCache>
            </c:strRef>
          </c:tx>
          <c:spPr>
            <a:solidFill>
              <a:srgbClr val="EB641B"/>
            </a:solidFill>
          </c:spPr>
          <c:invertIfNegative val="0"/>
          <c:dLbls>
            <c:dLbl>
              <c:idx val="0"/>
              <c:layout>
                <c:manualLayout>
                  <c:x val="0.0162822252374491"/>
                  <c:y val="0.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8548168249661"/>
                  <c:y val="0.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217096336499322"/>
                  <c:y val="0.109863064869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Sheet1!$P$83:$P$85</c:f>
              <c:strCache>
                <c:ptCount val="3"/>
                <c:pt idx="0">
                  <c:v>1 Year</c:v>
                </c:pt>
                <c:pt idx="1">
                  <c:v>3 Years</c:v>
                </c:pt>
                <c:pt idx="2">
                  <c:v>5 Years</c:v>
                </c:pt>
              </c:strCache>
            </c:strRef>
          </c:cat>
          <c:val>
            <c:numRef>
              <c:f>Sheet1!$S$83:$S$85</c:f>
              <c:numCache>
                <c:formatCode>0%</c:formatCode>
                <c:ptCount val="3"/>
                <c:pt idx="0">
                  <c:v>0.14779618929373</c:v>
                </c:pt>
                <c:pt idx="1">
                  <c:v>0.0373515050928763</c:v>
                </c:pt>
                <c:pt idx="2">
                  <c:v>0.0822413973291973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42867032"/>
        <c:axId val="-2142863880"/>
      </c:barChart>
      <c:catAx>
        <c:axId val="-2142867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-2142863880"/>
        <c:crosses val="autoZero"/>
        <c:auto val="1"/>
        <c:lblAlgn val="ctr"/>
        <c:lblOffset val="0"/>
        <c:noMultiLvlLbl val="0"/>
      </c:catAx>
      <c:valAx>
        <c:axId val="-2142863880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one"/>
        <c:crossAx val="-21428670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60944002111468"/>
          <c:y val="0.549277710478498"/>
          <c:w val="0.364568102171586"/>
          <c:h val="0.324521502119927"/>
        </c:manualLayout>
      </c:layout>
      <c:overlay val="0"/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0.89772</cdr:y>
    </cdr:from>
    <cdr:to>
      <cdr:x>1</cdr:x>
      <cdr:y>0.99915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0" y="1778558"/>
          <a:ext cx="3114675" cy="2009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GB" sz="900"/>
            <a:t>Graph</a:t>
          </a:r>
          <a:r>
            <a:rPr lang="en-GB" sz="900" baseline="0"/>
            <a:t> xx: Stock performance compared to benchmarks</a:t>
          </a:r>
          <a:endParaRPr lang="en-GB" sz="900"/>
        </a:p>
      </cdr:txBody>
    </cdr:sp>
  </cdr:relSizeAnchor>
  <cdr:relSizeAnchor xmlns:cdr="http://schemas.openxmlformats.org/drawingml/2006/chartDrawing">
    <cdr:from>
      <cdr:x>0</cdr:x>
      <cdr:y>0</cdr:y>
    </cdr:from>
    <cdr:to>
      <cdr:x>1</cdr:x>
      <cdr:y>0.10861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9525" y="0"/>
          <a:ext cx="3152775" cy="276225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>
            <a:lumMod val="50000"/>
            <a:lumOff val="5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anchor="ctr"/>
        <a:lstStyle xmlns:a="http://schemas.openxmlformats.org/drawingml/2006/main"/>
        <a:p xmlns:a="http://schemas.openxmlformats.org/drawingml/2006/main">
          <a:pPr algn="ctr"/>
          <a:r>
            <a:rPr lang="en-US" sz="1000" b="1"/>
            <a:t>Stock Performance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00B050"/>
    </a:accent1>
    <a:accent2>
      <a:srgbClr val="DA1F28"/>
    </a:accent2>
    <a:accent3>
      <a:srgbClr val="EB641B"/>
    </a:accent3>
    <a:accent4>
      <a:srgbClr val="39639D"/>
    </a:accent4>
    <a:accent5>
      <a:srgbClr val="FFD200"/>
    </a:accent5>
    <a:accent6>
      <a:srgbClr val="1E1458"/>
    </a:accent6>
    <a:hlink>
      <a:srgbClr val="FF8119"/>
    </a:hlink>
    <a:folHlink>
      <a:srgbClr val="44B9E8"/>
    </a:folHlink>
  </a:clrScheme>
  <a:fontScheme name="Custom 2">
    <a:majorFont>
      <a:latin typeface="Century Gothic"/>
      <a:ea typeface=""/>
      <a:cs typeface=""/>
    </a:majorFont>
    <a:minorFont>
      <a:latin typeface="Calibri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38</cp:revision>
  <dcterms:created xsi:type="dcterms:W3CDTF">2015-05-13T19:02:00Z</dcterms:created>
  <dcterms:modified xsi:type="dcterms:W3CDTF">2015-05-25T12:19:00Z</dcterms:modified>
</cp:coreProperties>
</file>