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768955bb0c46dcfee.xml" ContentType="application/vnd.openxmlformats-officedocument.wordprocessingml.header+xml"/>
  <Override PartName="/word/header348055bb0c46dce95.xml" ContentType="application/vnd.openxmlformats-officedocument.wordprocessingml.header+xml"/>
  <Override PartName="/word/footer696555bb0c46dd27d.xml" ContentType="application/vnd.openxmlformats-officedocument.wordprocessingml.footer+xml"/>
  <Override PartName="/word/footer347355bb0c46dd13f.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500114</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TITAN</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INE280A01028</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Diamond, Gems and Jewellery</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186155bb0c43415fc" w:history="1">
              <w:r>
                <w:rPr>
                  <w:color w:val="EB641B"/>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28</w:t>
            </w:r>
            <w:r>
              <w:rPr>
                <w:color w:val="000000"/>
                <w:position w:val="3"/>
                <w:sz w:val="18"/>
                <w:szCs w:val="18"/>
                <w:vertAlign w:val="superscript"/>
              </w:rPr>
              <w:t xml:space="preserve">th</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31</w:t>
            </w:r>
            <w:r>
              <w:rPr>
                <w:color w:val="000000"/>
                <w:position w:val="3"/>
                <w:sz w:val="18"/>
                <w:szCs w:val="18"/>
                <w:vertAlign w:val="superscript"/>
              </w:rPr>
              <w:t xml:space="preserve">st</w:t>
            </w:r>
            <w:r>
              <w:rPr>
                <w:color w:val="000000"/>
                <w:sz w:val="20"/>
                <w:szCs w:val="20"/>
              </w:rPr>
              <w:t xml:space="preserve"> July, 2015</w:t>
            </w:r>
            <w:r>
              <w:t xml:space="preserve"> </w:t>
            </w:r>
            <w:r w:rsidR="00993F3F">
              <w:rPr>
                <w:sz w:val="20"/>
                <w:lang w:val="en-US"/>
              </w:rPr>
              <w:t xml:space="preserve">at 3:00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3, SIPCOT Industrial Complex, Hosur 635 126, Tamilnadu</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159855bb0c4348f75" w:history="1">
              <w:r>
                <w:rPr>
                  <w:color w:val="EB641B"/>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766555bb0c434db27" w:history="1">
              <w:r>
                <w:rPr>
                  <w:color w:val="EB641B"/>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979655bb0c4352864" w:history="1">
              <w:r>
                <w:rPr>
                  <w:color w:val="EB641B"/>
                  <w:sz w:val="20"/>
                  <w:szCs w:val="20"/>
                  <w:u w:val="single"/>
                </w:rPr>
                <w:t xml:space="preserve">investor@titan.co.in/titan@tata.com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43 4466 4199</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43 4427 6037</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3 SIPCOT Industrial Complex , Hosur, Tamil Nadu - 635126</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Titan Company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Titan Company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836271" type="#_x0000_t202" style="position:absolute;mso-position-horizontal:right;width:260pt;height:40pt;z-index:5313028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Statement of Profit and Loss, Balance Sheet, Report of Board of Directors and Auditors f</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 on equity shares for the financial year 2014-15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N.N. Tata as a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T.K. Arun as a Director, liable to retie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Branch Auditors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Cost Auditorâs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Commission to Non-Executive Directors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Harish Bhat as a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361102" type="#_x0000_t202" style="position:absolute;mso-position-horizontal:right;width:260pt;height:40pt;z-index:16805055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351.00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31,161.80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88,77,86,160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37.86</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11,903.21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10,915.79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10,112.67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1,934.20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6,348.52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70.58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14.51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59.19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11,973.79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11,035.98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10,213.44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1,948.71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6,407.71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1,143.28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1,081.52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1,060.76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562.33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823.07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741.14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725.18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26.04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378.23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9.27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28.84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29.23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17.61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10.99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6.91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7.17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5.96</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Rakesh Radheshyam</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Tamilnadu Industrial Development Co</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27.88%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Matthews Pacific Tiger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Sons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15.22%</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Dendana Investments Mauritius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Steel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National Westminster Bank PLC as De</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Investment Corporation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Jhunjhunwala Rekha Rakesh</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Tata Chemicals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Copthall Mauritius Investment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Tata Global Beverage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Ewart Investments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0.56%</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964455bb0c46dbb40">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435855" type="#_x0000_t202" style="position:absolute;mso-position-horizontal:right;width:260pt;height:40pt;z-index:96508706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Chandrasekarapuram Viswanathan Sankar*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Thanjavur Kanakaraj Arun*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61.33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Noel Naval Tata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Harish Ramananda Bhat^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Tirimula Kumara Balaji@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Chandrathil Gouri Krishnadas Nair@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Research &amp; Developemnt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8(4)</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54.38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Vinita Bali</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Hema Ravichandar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Human Resources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39.04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Das Narayandas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Academician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18.64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Ireena Vittal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Consulting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46.69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Bhaskar Bhat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491.26</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Titan Company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*Mr. C V Sankar and Mr. T K Arun are nominee Directors of TIDCO</w:t>
            </w:r>
          </w:p>
          <w:p>
            <w:pPr>
              <w:widowControl w:val="on"/>
              <w:pBdr/>
              <w:spacing w:before="0" w:after="0" w:line="270" w:lineRule="auto"/>
              <w:ind w:left="0" w:right="0"/>
              <w:jc w:val="both"/>
              <w:textAlignment w:val="center"/>
            </w:pPr>
            <w:r>
              <w:rPr>
                <w:color w:val="000000"/>
                <w:position w:val="-2"/>
                <w:sz w:val="18"/>
                <w:szCs w:val="18"/>
              </w:rPr>
              <w:t xml:space="preserve">^Mr. Harish Bhat is nominee Director of Tata Sons Ltd.</w:t>
            </w:r>
          </w:p>
          <w:p>
            <w:pPr>
              <w:widowControl w:val="on"/>
              <w:pBdr/>
              <w:spacing w:before="0" w:after="0" w:line="270" w:lineRule="auto"/>
              <w:ind w:left="0" w:right="0"/>
              <w:jc w:val="both"/>
              <w:textAlignment w:val="center"/>
            </w:pPr>
            <w:r>
              <w:rPr>
                <w:color w:val="000000"/>
                <w:position w:val="-2"/>
                <w:sz w:val="18"/>
                <w:szCs w:val="18"/>
              </w:rPr>
              <w:t xml:space="preserve">@ Mr. T. K Balaji and Mr. C G Krishnadas Nair Kulkarni are associated with the Company for more than 10 years. SES as a good governance practice and spirit behind the provisions of Section 149 of the Companies Act, 2013 considers Director associated with the Company for more than 10 years as Non-Independent. Therefore, SES classifies them as a Non-Independent director on a governance basis.</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931355bb0c46dbc5b">
            <w:altChunkPr>
              <w:matchSrc/>
            </w:altChunkPr>
          </w:altChunk>
          <w:p/>
        </w:tc>
        <w:tc>
          <w:tcPr>
            <w:tcW w:w="7000" w:type="dxa"/>
            <w:vAlign w:val="center"/>
          </w:tcPr>
          <w:altChunk xmlns:r="http://schemas.openxmlformats.org/officeDocument/2006/relationships" xmlns:w="http://schemas.openxmlformats.org/wordprocessingml/2006/main" r:id="altChunk324755bb0c46dbd3f">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5 Non- Independent Directors according to the Company out of which 4 Directors are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Mr. T. K Balaji and Mr. C G Krishnadas Nair Kulkarni are associated with the Company for more than 10 years. SES as a good governance practice considers Director associated with the Company for more than 10 years as Non-Independent. Therefore, SES classifies them as a Non-Independent director on a governance basis. Hence, according to SES the board comprises of only 36% Independent Directors.</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Tirimula Kumara Balaji(25%)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Chandrasekarapuram Viswanathan Sankar(50%),Tirimula Kumara Balaji(50%),Chandrathil Gouri Krishnadas Nair(50%)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ND</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36.36%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62</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737878" type="#_x0000_t202" style="position:absolute;mso-position-horizontal:right;width:260pt;height:40pt;z-index:325247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2.88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95.20</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727155bb0c46dbe1e">
            <w:altChunkPr>
              <w:matchSrc/>
            </w:altChunkPr>
          </w:altChunk>
          <w:p/>
        </w:tc>
        <w:tc>
          <w:tcPr>
            <w:tcW w:w="7000" w:type="dxa"/>
            <w:vAlign w:val="center"/>
          </w:tcPr>
          <w:altChunk xmlns:r="http://schemas.openxmlformats.org/officeDocument/2006/relationships" xmlns:w="http://schemas.openxmlformats.org/wordprocessingml/2006/main" r:id="altChunk590755bb0c46dbef7">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Titan Company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Tribhovandas Bhimji Zaveri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PC Jeweller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Bhaskar Bhat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Shrikant Zaveri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Balram garg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3.97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823.07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55.05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356.13</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1.68%</w:t>
            </w:r>
          </w:p>
        </w:tc>
      </w:tr>
    </w:tbl>
    <w:p xmlns:w="http://schemas.openxmlformats.org/wordprocessingml/2006/main">
      <w:r>
        <w:br w:type="page"/>
      </w:r>
    </w:p>
    <w:p xmlns:w="http://schemas.openxmlformats.org/wordprocessingml/2006/main" xmlns:v="urn:schemas-microsoft-com:vml" xmlns:w10="urn:schemas-microsoft-com:office:word">
      <w:r>
        <w:pict>
          <v:shape id="_x0000_s536670" type="#_x0000_t202" style="position:absolute;mso-position-horizontal:right;width:260pt;height:40pt;z-index:80310601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1921323229" name="389055bb0c46dc94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08590" name="checked.png"/>
                          <pic:cNvPicPr/>
                        </pic:nvPicPr>
                        <pic:blipFill>
                          <a:blip r:embed="rId472155bb0c46d85d0"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956126017" name="211755bb0c46dc96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77553" name="checked.png"/>
                          <pic:cNvPicPr/>
                        </pic:nvPicPr>
                        <pic:blipFill>
                          <a:blip r:embed="rId417155bb0c46d86ea"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139456533" name="108055bb0c46dc97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08444" name="checked.png"/>
                          <pic:cNvPicPr/>
                        </pic:nvPicPr>
                        <pic:blipFill>
                          <a:blip r:embed="rId640255bb0c46d883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557965561" name="644655bb0c46dc997"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6181" name="checked.png"/>
                          <pic:cNvPicPr/>
                        </pic:nvPicPr>
                        <pic:blipFill>
                          <a:blip r:embed="rId568955bb0c46d895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58878561" name="148855bb0c46dc9a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0789" name="checked.png"/>
                          <pic:cNvPicPr/>
                        </pic:nvPicPr>
                        <pic:blipFill>
                          <a:blip r:embed="rId466755bb0c46d8a3a"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22172046" name="293255bb0c46dc9c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582" name="checked.png"/>
                          <pic:cNvPicPr/>
                        </pic:nvPicPr>
                        <pic:blipFill>
                          <a:blip r:embed="rId318855bb0c46d8b1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81387336" name="219955bb0c46dc9dd"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40851" name="checked.png"/>
                          <pic:cNvPicPr/>
                        </pic:nvPicPr>
                        <pic:blipFill>
                          <a:blip r:embed="rId170855bb0c46d8c0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864069465" name="682455bb0c46dc9f4"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012" name="checked.png"/>
                          <pic:cNvPicPr/>
                        </pic:nvPicPr>
                        <pic:blipFill>
                          <a:blip r:embed="rId139455bb0c46d8cd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600325314" name="628855bb0c46dca0b"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4560" name="checked.png"/>
                          <pic:cNvPicPr/>
                        </pic:nvPicPr>
                        <pic:blipFill>
                          <a:blip r:embed="rId203455bb0c46d8dc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689507166" name="202555bb0c46dca23"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35600" name="checked.png"/>
                          <pic:cNvPicPr/>
                        </pic:nvPicPr>
                        <pic:blipFill>
                          <a:blip r:embed="rId735655bb0c46d8ea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852942168" name="547655bb0c46dca3a"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42037" name="checked.png"/>
                          <pic:cNvPicPr/>
                        </pic:nvPicPr>
                        <pic:blipFill>
                          <a:blip r:embed="rId693955bb0c46d8f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17045164" name="728055bb0c46dca51"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6733" name="checked.png"/>
                          <pic:cNvPicPr/>
                        </pic:nvPicPr>
                        <pic:blipFill>
                          <a:blip r:embed="rId518155bb0c46d905b"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519804553" name="484955bb0c46dca67"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28618" name="checked.png"/>
                          <pic:cNvPicPr/>
                        </pic:nvPicPr>
                        <pic:blipFill>
                          <a:blip r:embed="rId596555bb0c46d9134"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785697747" name="772555bb0c46dca7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81760" name="na.png"/>
                          <pic:cNvPicPr/>
                        </pic:nvPicPr>
                        <pic:blipFill>
                          <a:blip r:embed="rId894155bb0c46d920b"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pPr>
        <w:widowControl w:val="on"/>
        <w:pBdr/>
        <w:spacing w:before="120" w:after="120" w:line="270" w:lineRule="auto"/>
        <w:ind w:left="0" w:right="0"/>
        <w:jc w:val="both"/>
      </w:pPr>
      <w:r>
        <w:rPr>
          <w:color w:val="000000"/>
          <w:sz w:val="20"/>
          <w:szCs w:val="20"/>
        </w:rPr>
        <w:t xml:space="preserve">Not Applicable as No qualification is made by the Auditors.</w:t>
      </w:r>
    </w:p>
    <w:p xmlns:w="http://schemas.openxmlformats.org/wordprocessingml/2006/main">
      <w:r>
        <w:br w:type="page"/>
      </w:r>
    </w:p>
    <w:p xmlns:w="http://schemas.openxmlformats.org/wordprocessingml/2006/main" xmlns:v="urn:schemas-microsoft-com:vml" xmlns:w10="urn:schemas-microsoft-com:office:word">
      <w:r>
        <w:pict>
          <v:shape id="_x0000_s906674" type="#_x0000_t202" style="position:absolute;mso-position-horizontal:right;width:260pt;height:40pt;z-index:16210612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Not Disclsoed</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-50.00%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10.71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-4.01%</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6.91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6.79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1.77%</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297.93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233.57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3092.01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2523.95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9.25%</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21.01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26.19%</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widowControl w:val="on"/>
        <w:pBdr/>
        <w:spacing w:before="120" w:after="120" w:line="270" w:lineRule="auto"/>
        <w:ind w:left="0" w:right="0"/>
        <w:jc w:val="both"/>
      </w:pPr>
      <w:r>
        <w:rPr>
          <w:color w:val="000000"/>
          <w:sz w:val="20"/>
          <w:szCs w:val="20"/>
        </w:rPr>
        <w:t xml:space="preserve">Declaration of dividend on equity shares for the financial year 2014-15</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was identified. The Company has enough cash to pay the dividend. SES recommedns that shareholders' to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269955bb0c46dbfce">
            <w:altChunkPr>
              <w:matchSrc/>
            </w:altChunkPr>
          </w:altChunk>
          <w:p/>
        </w:tc>
        <w:tc>
          <w:tcPr>
            <w:tcW w:w="7000" w:type="dxa"/>
            <w:vAlign w:val="center"/>
          </w:tcPr>
          <w:altChunk xmlns:r="http://schemas.openxmlformats.org/officeDocument/2006/relationships" xmlns:w="http://schemas.openxmlformats.org/wordprocessingml/2006/main" r:id="altChunk701255bb0c46dc0b5">
            <w:altChunkPr>
              <w:matchSrc/>
            </w:altChunkPr>
          </w:altChunk>
          <w:p/>
        </w:tc>
      </w:tr>
    </w:tbl>
    <w:p xmlns:w="http://schemas.openxmlformats.org/wordprocessingml/2006/main">
      <w:pPr>
        <w:widowControl w:val="on"/>
        <w:pBdr/>
        <w:spacing w:before="120" w:after="120" w:line="270" w:lineRule="auto"/>
        <w:ind w:left="0" w:right="0"/>
        <w:jc w:val="both"/>
      </w:pPr>
      <w:r>
        <w:rPr>
          <w:color w:val="000000"/>
          <w:sz w:val="20"/>
          <w:szCs w:val="20"/>
        </w:rPr>
        <w:t xml:space="preserve">The Directors have recommended the payment of dividend on equity shares at the rate of 230% (Rs 2.30 per equity share), subject to approval by the shareholders at the Annual General Meeting (AGM). The COmpany has enough cash to pay the dividend.</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BRANCH AUDITORS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Branch Auditors</w:t>
      </w:r>
    </w:p>
    <w:p xmlns:w="http://schemas.openxmlformats.org/wordprocessingml/2006/main">
      <w:pPr>
        <w:widowControl w:val="on"/>
        <w:pBdr/>
        <w:spacing w:before="120" w:after="120" w:line="270" w:lineRule="auto"/>
        <w:ind w:left="450" w:right="0"/>
        <w:jc w:val="both"/>
      </w:pPr>
      <w:r>
        <w:rPr>
          <w:i/>
          <w:iCs/>
          <w:color w:val="000000"/>
          <w:sz w:val="20"/>
          <w:szCs w:val="20"/>
        </w:rPr>
        <w:t xml:space="preserve">To appoint branch Auditor for branches outside India</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reagrding the appointment of Branch Audiotrs.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has stated that "The Company has branches outside India and may also open / acquire new branches outside India in future. It may be necessary to appoint branch auditors for carrying out the audit of the accounts of such branches."</w:t>
      </w:r>
    </w:p>
    <w:p xmlns:w="http://schemas.openxmlformats.org/wordprocessingml/2006/main">
      <w:pPr>
        <w:widowControl w:val="on"/>
        <w:pBdr/>
        <w:spacing w:before="120" w:after="120" w:line="270" w:lineRule="auto"/>
        <w:ind w:left="0" w:right="0"/>
        <w:jc w:val="both"/>
      </w:pPr>
      <w:r>
        <w:rPr>
          <w:color w:val="000000"/>
          <w:sz w:val="20"/>
          <w:szCs w:val="20"/>
        </w:rPr>
        <w:t xml:space="preserve">Thus the Company is seeking approval to appoint branch auditors in consultation with the Company’s Auditors and fix their remuneration.</w:t>
      </w:r>
    </w:p>
    <w:p xmlns:w="http://schemas.openxmlformats.org/wordprocessingml/2006/main">
      <w:pPr>
        <w:widowControl w:val="on"/>
        <w:pBdr/>
        <w:spacing w:before="120" w:after="120" w:line="270" w:lineRule="auto"/>
        <w:ind w:left="0" w:right="0"/>
        <w:jc w:val="both"/>
      </w:pPr>
      <w:r>
        <w:rPr>
          <w:color w:val="000000"/>
          <w:sz w:val="20"/>
          <w:szCs w:val="20"/>
        </w:rPr>
        <w:t xml:space="preserve">The Company is seeking appointment of auditors to conduct the audit of accounts of branch offices of the Company situated in countries outside India. Companies Act, 2013 states that in cases where branch office is situated outside India, the accounts of the branch office shall be audited either by the Company’s Auditor or by an accountant or by any other person duly qualified to act as an auditor of the accounts of the branch office in accordance with the laws of that country. No concern has been identified in this regard.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TO COST AUDITORS</w:t>
      </w:r>
    </w:p>
    <w:p xmlns:w="http://schemas.openxmlformats.org/wordprocessingml/2006/main">
      <w:pPr>
        <w:widowControl w:val="on"/>
        <w:pBdr/>
        <w:spacing w:before="120" w:after="120" w:line="270" w:lineRule="auto"/>
        <w:ind w:left="0" w:right="0"/>
        <w:jc w:val="both"/>
      </w:pPr>
      <w:r>
        <w:rPr>
          <w:color w:val="000000"/>
          <w:sz w:val="20"/>
          <w:szCs w:val="20"/>
        </w:rPr>
        <w:t xml:space="preserve">Ratification of Cost Auditor’s Remuneration</w:t>
      </w:r>
    </w:p>
    <w:p xmlns:w="http://schemas.openxmlformats.org/wordprocessingml/2006/main">
      <w:pPr>
        <w:widowControl w:val="on"/>
        <w:pBdr/>
        <w:spacing w:before="120" w:after="120" w:line="270" w:lineRule="auto"/>
        <w:ind w:left="450" w:right="0"/>
        <w:jc w:val="both"/>
      </w:pPr>
      <w:r>
        <w:rPr>
          <w:color w:val="000000"/>
          <w:sz w:val="20"/>
          <w:szCs w:val="20"/>
        </w:rPr>
        <w:t xml:space="preserve"> Payment of remuneration of Rs. 3,00,000/- to M/s PSV &amp; Associates, Cost Accountants</w:t>
      </w:r>
    </w:p>
    <w:p xmlns:w="http://schemas.openxmlformats.org/wordprocessingml/2006/main">
      <w:pPr>
        <w:widowControl w:val="on"/>
        <w:pBdr/>
        <w:spacing w:before="120" w:after="120" w:line="270" w:lineRule="auto"/>
        <w:ind w:left="0" w:right="0"/>
        <w:jc w:val="both"/>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ratification of remuneration of Rs. 3 lacs to M/s PSV &amp; Assosciates, Cost Accountants. SES recommedns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The Board of Directors of the Company on the recommendation of the Audit Committee approved the appointment and remuneration of Messrs. PSV &amp; Accountants, Cost Accountants, to conduct the audit of the cost records of the Company of the Company for the year ending 31</w:t>
      </w:r>
      <w:r>
        <w:rPr>
          <w:color w:val="000000"/>
          <w:position w:val="3"/>
          <w:sz w:val="18"/>
          <w:szCs w:val="18"/>
          <w:vertAlign w:val="superscript"/>
        </w:rPr>
        <w:t xml:space="preserve">st</w:t>
      </w:r>
      <w:r>
        <w:rPr>
          <w:color w:val="000000"/>
          <w:sz w:val="20"/>
          <w:szCs w:val="20"/>
        </w:rPr>
        <w:t xml:space="preserve"> March 2016, amounting to Rs 3.00 lakhs as also the payment of service tax as applicable and re-imbursement of out of pocket expenses incurred by them in connection with the aforesaid audit. In terms of the provisions of Section 148(3) of the Companies Act, 2013 read with Rule 14(a) (ii) of The Companies (Audit and Auditors) Rules, 2014, the remuneration payable to the Cost Auditor is to be ratified by the Members of the Company. </w:t>
      </w:r>
      <w:r>
        <w:rPr>
          <w:color w:val="000000"/>
          <w:sz w:val="20"/>
          <w:szCs w:val="20"/>
        </w:rPr>
        <w:br/>
        <w:t xml:space="preserve"> This is an enabling resolution for the ratification of remuneration paid to cost Auditors. No concern has been identified regarding the remuneration paid to Messrs. PSV &amp; Assosciates.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8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 Srikuma</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4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Deloitte Touche Tohmatsu  </w:t>
            </w:r>
          </w:p>
        </w:tc>
      </w:tr>
    </w:tbl>
    <w:p xmlns:w="http://schemas.openxmlformats.org/wordprocessingml/2006/main">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672655bb0c46dc16e">
            <w:altChunkPr>
              <w:matchSrc/>
            </w:altChunkPr>
          </w:altChunk>
          <w:p/>
        </w:tc>
        <w:tc>
          <w:tcPr>
            <w:tcW w:w="9000" w:type="dxa"/>
            <w:vAlign w:val="top"/>
          </w:tcPr>
          <w:altChunk xmlns:r="http://schemas.openxmlformats.org/officeDocument/2006/relationships" xmlns:w="http://schemas.openxmlformats.org/wordprocessingml/2006/main" r:id="altChunk752755bb0c46dc21d">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120" w:after="120" w:line="270" w:lineRule="auto"/>
        <w:ind w:left="0" w:right="0"/>
        <w:jc w:val="both"/>
      </w:pPr>
      <w:r>
        <w:rPr>
          <w:color w:val="000000"/>
          <w:sz w:val="20"/>
          <w:szCs w:val="20"/>
        </w:rPr>
        <w:t xml:space="preserve">write the analysis on term of appointment.</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Approval of Non-Executive Directors Commisson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xmlns:w="http://schemas.openxmlformats.org/wordprocessingml/2006/main">
      <w:pPr>
        <w:widowControl w:val="on"/>
        <w:pBdr/>
        <w:spacing w:before="120" w:after="120" w:line="270" w:lineRule="auto"/>
        <w:ind w:left="0" w:right="0"/>
        <w:jc w:val="both"/>
      </w:pPr>
      <w:r>
        <w:rPr>
          <w:b/>
          <w:bCs/>
          <w:color w:val="000000"/>
          <w:sz w:val="20"/>
          <w:szCs w:val="20"/>
        </w:rPr>
        <w:t xml:space="preserve">Remuneration Limits:</w:t>
      </w:r>
    </w:p>
    <w:p xmlns:w="http://schemas.openxmlformats.org/wordprocessingml/2006/main">
      <w:pPr>
        <w:widowControl w:val="on"/>
        <w:pBdr/>
        <w:spacing w:before="120" w:after="120" w:line="270" w:lineRule="auto"/>
        <w:ind w:left="0" w:right="0"/>
        <w:jc w:val="both"/>
      </w:pPr>
      <w:r>
        <w:rPr>
          <w:b/>
          <w:bCs/>
          <w:color w:val="000000"/>
          <w:sz w:val="20"/>
          <w:szCs w:val="20"/>
        </w:rPr>
        <w:t xml:space="preserve">Commission distribution criteria:</w:t>
      </w:r>
    </w:p>
    <w:p xmlns:w="http://schemas.openxmlformats.org/wordprocessingml/2006/main">
      <w:pPr>
        <w:widowControl w:val="on"/>
        <w:pBdr/>
        <w:spacing w:before="120" w:after="120" w:line="270" w:lineRule="auto"/>
        <w:ind w:left="0" w:right="0"/>
        <w:jc w:val="both"/>
      </w:pPr>
      <w:r>
        <w:rPr>
          <w:b/>
          <w:bCs/>
          <w:color w:val="000000"/>
          <w:sz w:val="20"/>
          <w:szCs w:val="20"/>
        </w:rPr>
        <w:t xml:space="preserve">Directors' covered under the resolution:</w:t>
      </w:r>
    </w:p>
    <w:p xmlns:w="http://schemas.openxmlformats.org/wordprocessingml/2006/main">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altChunk645755bb0c46dc2d6">
            <w:altChunkPr>
              <w:matchSrc/>
            </w:altChunkPr>
          </w:altChunk>
          <w:p/>
        </w:tc>
        <w:tc>
          <w:tcPr>
            <w:tcW w:w="6000" w:type="dxa"/>
            <w:vAlign w:val="top"/>
          </w:tcPr>
          <w:altChunk xmlns:r="http://schemas.openxmlformats.org/officeDocument/2006/relationships" xmlns:w="http://schemas.openxmlformats.org/wordprocessingml/2006/main" r:id="altChunk903655bb0c46dc3da">
            <w:altChunkPr>
              <w:matchSrc/>
            </w:altChunkPr>
          </w:altChunk>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altChunk xmlns:r="http://schemas.openxmlformats.org/officeDocument/2006/relationships" xmlns:w="http://schemas.openxmlformats.org/wordprocessingml/2006/main" r:id="altChunk541155bb0c46dc4c4">
      <w:altChunkPr>
        <w:matchSrc/>
      </w:altChunkPr>
    </w:altChunk>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347355bb0c46dd13f"/>
      <w:footerReference xmlns:r="http://schemas.openxmlformats.org/officeDocument/2006/relationships" w:type="default" r:id="rId696555bb0c46dd27d"/>
      <w:headerReference xmlns:r="http://schemas.openxmlformats.org/officeDocument/2006/relationships" w:type="even" r:id="rId348055bb0c46dce95"/>
      <w:headerReference xmlns:r="http://schemas.openxmlformats.org/officeDocument/2006/relationships" w:type="default" r:id="rId768955bb0c46dcfee"/>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347355bb0c46dd13f.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2008846681" name="940455bb0c46e046c"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6335" name="footer_logo.png"/>
                        <pic:cNvPicPr/>
                      </pic:nvPicPr>
                      <pic:blipFill>
                        <a:blip r:embed="rId155699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696555bb0c46dd27d.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882858974" name="861355bb0c46e0835"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58444" name="footer_logo.png"/>
                        <pic:cNvPicPr/>
                      </pic:nvPicPr>
                      <pic:blipFill>
                        <a:blip r:embed="rId155699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348055bb0c46dce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140861389" name="293955bb0c46df64c"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37239" name="logo.png"/>
                        <pic:cNvPicPr/>
                      </pic:nvPicPr>
                      <pic:blipFill>
                        <a:blip r:embed="rId155699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EB641B"/>
              <w:sz w:val="20"/>
              <w:szCs w:val="20"/>
              <w:u w:val="single"/>
            </w:rPr>
          </w:pPr>
          <w:r>
            <w:fldChar w:fldCharType="begin"/>
          </w:r>
          <w:r>
            <w:instrText xml:space="preserve">HYPERLINK "http://www.titan.co.in"</w:instrText>
          </w:r>
          <w:r>
            <w:fldChar w:fldCharType="separate"/>
          </w:r>
          <w:r>
            <w:rPr>
              <w:color w:val="#EB641B"/>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31</w:t>
          </w:r>
          <w:r>
            <w:rPr>
              <w:color w:val="000000"/>
              <w:position w:val="3"/>
              <w:sz w:val="18"/>
              <w:szCs w:val="18"/>
              <w:vertAlign w:val="superscript"/>
            </w:rPr>
            <w:t xml:space="preserve">st</w:t>
          </w:r>
          <w:r>
            <w:rPr>
              <w:color w:val="000000"/>
              <w:sz w:val="20"/>
              <w:szCs w:val="20"/>
            </w:rPr>
            <w:t xml:space="preserve"> July, 2015</w:t>
          </w:r>
        </w:p>
      </w:tc>
    </w:tr>
  </w:tbl>
  <w:p>
    <w:r>
      <w:rPr>
        <w:noProof/>
      </w:rPr>
      <w:pict>
        <v:shape id="WordPictureWatermark741055bb0c46ab867" type="#_x0000_t75" style="position:absolute;margin-left:0;margin-top:0;width:780;height:900;z-index:-251656192;mso-position-horizontal:center;mso-position-horizontal-relative:margin;mso-position-vertical:center;mso-position-vertical-relative:margin" o:allowincell="f">
          <v:imagedata r:id="rId741055bb0c46ab867" o:title="117955bb0c46aca76"/>
        </v:shape>
      </w:pict>
    </w:r>
  </w:p>
</w:hdr>
</file>

<file path=word/header768955bb0c46dcfee.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602510146" name="688455bb0c46dfe1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49283" name="logo.png"/>
                        <pic:cNvPicPr/>
                      </pic:nvPicPr>
                      <pic:blipFill>
                        <a:blip r:embed="rId155699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Titan Company Ltd</w:t>
          </w:r>
        </w:p>
        <w:p>
          <w:pPr>
            <w:jc w:val="right"/>
            <w:spacing w:before="140" w:line="240" w:lineRule="auto"/>
            <w:rPr>
              <w:color w:val="#EB641B"/>
              <w:sz w:val="20"/>
              <w:szCs w:val="20"/>
              <w:u w:val="single"/>
            </w:rPr>
          </w:pPr>
          <w:r>
            <w:fldChar w:fldCharType="begin"/>
          </w:r>
          <w:r>
            <w:instrText xml:space="preserve">HYPERLINK "http://www.titan.co.in"</w:instrText>
          </w:r>
          <w:r>
            <w:fldChar w:fldCharType="separate"/>
          </w:r>
          <w:r>
            <w:rPr>
              <w:color w:val="#EB641B"/>
              <w:sz w:val="20"/>
              <w:szCs w:val="20"/>
              <w:u w:val="single"/>
            </w:rPr>
            <w:t xml:space="preserve">www.titan.co.in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31</w:t>
          </w:r>
          <w:r>
            <w:rPr>
              <w:color w:val="000000"/>
              <w:position w:val="3"/>
              <w:sz w:val="18"/>
              <w:szCs w:val="18"/>
              <w:vertAlign w:val="superscript"/>
            </w:rPr>
            <w:t xml:space="preserve">st</w:t>
          </w:r>
          <w:r>
            <w:rPr>
              <w:color w:val="000000"/>
              <w:sz w:val="20"/>
              <w:szCs w:val="20"/>
            </w:rPr>
            <w:t xml:space="preserve"> July, 2015</w:t>
          </w:r>
        </w:p>
      </w:tc>
    </w:tr>
  </w:tbl>
  <w:p>
    <w:r>
      <w:rPr>
        <w:noProof/>
      </w:rPr>
      <w:pict>
        <v:shape id="WordPictureWatermark741055bb0c46ab867" type="#_x0000_t75" style="position:absolute;margin-left:0;margin-top:0;width:780;height:900;z-index:-251656192;mso-position-horizontal:center;mso-position-horizontal-relative:margin;mso-position-vertical:center;mso-position-vertical-relative:margin" o:allowincell="f">
          <v:imagedata r:id="rId741055bb0c46ab867" o:title="555755bb0c46ace08"/>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20421">
    <w:multiLevelType w:val="hybridMultilevel"/>
    <w:lvl w:ilvl="0" w:tplc="44108910">
      <w:start w:val="1"/>
      <w:numFmt w:val="decimal"/>
      <w:lvlText w:val="%1."/>
      <w:lvlJc w:val="left"/>
      <w:pPr>
        <w:ind w:left="720" w:hanging="360"/>
      </w:pPr>
    </w:lvl>
    <w:lvl w:ilvl="1" w:tplc="44108910" w:tentative="1">
      <w:start w:val="1"/>
      <w:numFmt w:val="lowerLetter"/>
      <w:lvlText w:val="%2."/>
      <w:lvlJc w:val="left"/>
      <w:pPr>
        <w:ind w:left="1440" w:hanging="360"/>
      </w:pPr>
    </w:lvl>
    <w:lvl w:ilvl="2" w:tplc="44108910" w:tentative="1">
      <w:start w:val="1"/>
      <w:numFmt w:val="lowerRoman"/>
      <w:lvlText w:val="%3."/>
      <w:lvlJc w:val="right"/>
      <w:pPr>
        <w:ind w:left="2160" w:hanging="180"/>
      </w:pPr>
    </w:lvl>
    <w:lvl w:ilvl="3" w:tplc="44108910" w:tentative="1">
      <w:start w:val="1"/>
      <w:numFmt w:val="decimal"/>
      <w:lvlText w:val="%4."/>
      <w:lvlJc w:val="left"/>
      <w:pPr>
        <w:ind w:left="2880" w:hanging="360"/>
      </w:pPr>
    </w:lvl>
    <w:lvl w:ilvl="4" w:tplc="44108910" w:tentative="1">
      <w:start w:val="1"/>
      <w:numFmt w:val="lowerLetter"/>
      <w:lvlText w:val="%5."/>
      <w:lvlJc w:val="left"/>
      <w:pPr>
        <w:ind w:left="3600" w:hanging="360"/>
      </w:pPr>
    </w:lvl>
    <w:lvl w:ilvl="5" w:tplc="44108910" w:tentative="1">
      <w:start w:val="1"/>
      <w:numFmt w:val="lowerRoman"/>
      <w:lvlText w:val="%6."/>
      <w:lvlJc w:val="right"/>
      <w:pPr>
        <w:ind w:left="4320" w:hanging="180"/>
      </w:pPr>
    </w:lvl>
    <w:lvl w:ilvl="6" w:tplc="44108910" w:tentative="1">
      <w:start w:val="1"/>
      <w:numFmt w:val="decimal"/>
      <w:lvlText w:val="%7."/>
      <w:lvlJc w:val="left"/>
      <w:pPr>
        <w:ind w:left="5040" w:hanging="360"/>
      </w:pPr>
    </w:lvl>
    <w:lvl w:ilvl="7" w:tplc="44108910" w:tentative="1">
      <w:start w:val="1"/>
      <w:numFmt w:val="lowerLetter"/>
      <w:lvlText w:val="%8."/>
      <w:lvlJc w:val="left"/>
      <w:pPr>
        <w:ind w:left="5760" w:hanging="360"/>
      </w:pPr>
    </w:lvl>
    <w:lvl w:ilvl="8" w:tplc="44108910" w:tentative="1">
      <w:start w:val="1"/>
      <w:numFmt w:val="lowerRoman"/>
      <w:lvlText w:val="%9."/>
      <w:lvlJc w:val="right"/>
      <w:pPr>
        <w:ind w:left="6480" w:hanging="180"/>
      </w:pPr>
    </w:lvl>
  </w:abstractNum>
  <w:abstractNum w:abstractNumId="94720420">
    <w:multiLevelType w:val="hybridMultilevel"/>
    <w:lvl w:ilvl="0" w:tplc="981811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94720420">
    <w:abstractNumId w:val="94720420"/>
  </w:num>
  <w:num w:numId="94720421">
    <w:abstractNumId w:val="94720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227889638" Type="http://schemas.openxmlformats.org/officeDocument/2006/relationships/comments" Target="comments.xml"/><Relationship Id="rId186155bb0c43415fc" Type="http://schemas.openxmlformats.org/officeDocument/2006/relationships/hyperlink" Target="https://www.evoting.nsdl.com/" TargetMode="External"/><Relationship Id="rId159855bb0c4348f75" Type="http://schemas.openxmlformats.org/officeDocument/2006/relationships/hyperlink" Target="http://corporates.bseindia.com/xml-data/corpfiling/AttachHis/7C285625_7EB7_4E44_9716_E99199997D1A_145104.pdf" TargetMode="External"/><Relationship Id="rId766555bb0c434db27" Type="http://schemas.openxmlformats.org/officeDocument/2006/relationships/hyperlink" Target="http://www.bseindia.com/bseplus/AnnualReport/500114/5001140315.pdf" TargetMode="External"/><Relationship Id="rId979655bb0c4352864" Type="http://schemas.openxmlformats.org/officeDocument/2006/relationships/hyperlink" Target="mailto:investor@titan.co.in/titan@tata.com" TargetMode="External"/><Relationship Id="rId768955bb0c46dcfee" Type="http://schemas.openxmlformats.org/officeDocument/2006/relationships/header" Target="header768955bb0c46dcfee.xml"/><Relationship Id="rId348055bb0c46dce95" Type="http://schemas.openxmlformats.org/officeDocument/2006/relationships/header" Target="header348055bb0c46dce95.xml"/><Relationship Id="rId696555bb0c46dd27d" Type="http://schemas.openxmlformats.org/officeDocument/2006/relationships/footer" Target="footer696555bb0c46dd27d.xml"/><Relationship Id="rId347355bb0c46dd13f" Type="http://schemas.openxmlformats.org/officeDocument/2006/relationships/footer" Target="footer347355bb0c46dd13f.xml"/><Relationship Id="rId472155bb0c46d85d0" Type="http://schemas.openxmlformats.org/officeDocument/2006/relationships/image" Target="media/image472155bb0c46d85d0.png"/><Relationship Id="rId417155bb0c46d86ea" Type="http://schemas.openxmlformats.org/officeDocument/2006/relationships/image" Target="media/image417155bb0c46d86ea.png"/><Relationship Id="rId640255bb0c46d8833" Type="http://schemas.openxmlformats.org/officeDocument/2006/relationships/image" Target="media/image640255bb0c46d8833.png"/><Relationship Id="rId568955bb0c46d8950" Type="http://schemas.openxmlformats.org/officeDocument/2006/relationships/image" Target="media/image568955bb0c46d8950.png"/><Relationship Id="rId466755bb0c46d8a3a" Type="http://schemas.openxmlformats.org/officeDocument/2006/relationships/image" Target="media/image466755bb0c46d8a3a.png"/><Relationship Id="rId318855bb0c46d8b1f" Type="http://schemas.openxmlformats.org/officeDocument/2006/relationships/image" Target="media/image318855bb0c46d8b1f.png"/><Relationship Id="rId170855bb0c46d8c00" Type="http://schemas.openxmlformats.org/officeDocument/2006/relationships/image" Target="media/image170855bb0c46d8c00.png"/><Relationship Id="rId139455bb0c46d8cdf" Type="http://schemas.openxmlformats.org/officeDocument/2006/relationships/image" Target="media/image139455bb0c46d8cdf.png"/><Relationship Id="rId203455bb0c46d8dc1" Type="http://schemas.openxmlformats.org/officeDocument/2006/relationships/image" Target="media/image203455bb0c46d8dc1.png"/><Relationship Id="rId735655bb0c46d8ea5" Type="http://schemas.openxmlformats.org/officeDocument/2006/relationships/image" Target="media/image735655bb0c46d8ea5.png"/><Relationship Id="rId693955bb0c46d8f82" Type="http://schemas.openxmlformats.org/officeDocument/2006/relationships/image" Target="media/image693955bb0c46d8f82.png"/><Relationship Id="rId518155bb0c46d905b" Type="http://schemas.openxmlformats.org/officeDocument/2006/relationships/image" Target="media/image518155bb0c46d905b.png"/><Relationship Id="rId596555bb0c46d9134" Type="http://schemas.openxmlformats.org/officeDocument/2006/relationships/image" Target="media/image596555bb0c46d9134.png"/><Relationship Id="rId894155bb0c46d920b" Type="http://schemas.openxmlformats.org/officeDocument/2006/relationships/image" Target="media/image894155bb0c46d920b.png"/><Relationship Id="altChunk964455bb0c46dbb40" Type="http://schemas.openxmlformats.org/officeDocument/2006/relationships/aFChunk" Target="altChunk964455bb0c46dbb40.zip" TargetMode="Internal"/><Relationship Id="altChunk931355bb0c46dbc5b" Type="http://schemas.openxmlformats.org/officeDocument/2006/relationships/aFChunk" Target="altChunk931355bb0c46dbc5b.zip" TargetMode="Internal"/><Relationship Id="altChunk324755bb0c46dbd3f" Type="http://schemas.openxmlformats.org/officeDocument/2006/relationships/aFChunk" Target="altChunk324755bb0c46dbd3f.zip" TargetMode="Internal"/><Relationship Id="altChunk727155bb0c46dbe1e" Type="http://schemas.openxmlformats.org/officeDocument/2006/relationships/aFChunk" Target="altChunk727155bb0c46dbe1e.zip" TargetMode="Internal"/><Relationship Id="altChunk590755bb0c46dbef7" Type="http://schemas.openxmlformats.org/officeDocument/2006/relationships/aFChunk" Target="altChunk590755bb0c46dbef7.zip" TargetMode="Internal"/><Relationship Id="altChunk269955bb0c46dbfce" Type="http://schemas.openxmlformats.org/officeDocument/2006/relationships/aFChunk" Target="altChunk269955bb0c46dbfce.zip" TargetMode="Internal"/><Relationship Id="altChunk701255bb0c46dc0b5" Type="http://schemas.openxmlformats.org/officeDocument/2006/relationships/aFChunk" Target="altChunk701255bb0c46dc0b5.zip" TargetMode="Internal"/><Relationship Id="altChunk672655bb0c46dc16e" Type="http://schemas.openxmlformats.org/officeDocument/2006/relationships/aFChunk" Target="altChunk672655bb0c46dc16e.zip" TargetMode="Internal"/><Relationship Id="altChunk752755bb0c46dc21d" Type="http://schemas.openxmlformats.org/officeDocument/2006/relationships/aFChunk" Target="altChunk752755bb0c46dc21d.zip" TargetMode="Internal"/><Relationship Id="altChunk645755bb0c46dc2d6" Type="http://schemas.openxmlformats.org/officeDocument/2006/relationships/aFChunk" Target="altChunk645755bb0c46dc2d6.zip" TargetMode="Internal"/><Relationship Id="altChunk903655bb0c46dc3da" Type="http://schemas.openxmlformats.org/officeDocument/2006/relationships/aFChunk" Target="altChunk903655bb0c46dc3da.zip" TargetMode="Internal"/><Relationship Id="altChunk541155bb0c46dc4c4" Type="http://schemas.openxmlformats.org/officeDocument/2006/relationships/aFChunk" Target="altChunk541155bb0c46dc4c4.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47355bb0c46dd13f.xml.rels><?xml version="1.0" encoding="UTF-8" standalone="yes"?>
<Relationships xmlns="http://schemas.openxmlformats.org/package/2006/relationships"><Relationship Id="rId15569910" Type="http://schemas.openxmlformats.org/officeDocument/2006/relationships/image" Target="media/image897055bb0c46e05cc.png"/></Relationships>

</file>

<file path=word/_rels/footer696555bb0c46dd27d.xml.rels><?xml version="1.0" encoding="UTF-8" standalone="yes"?>
<Relationships xmlns="http://schemas.openxmlformats.org/package/2006/relationships"><Relationship Id="rId15569910" Type="http://schemas.openxmlformats.org/officeDocument/2006/relationships/image" Target="media/image803155bb0c46e09e5.png"/></Relationships>

</file>

<file path=word/_rels/header348055bb0c46dce95.xml.rels><?xml version="1.0" encoding="UTF-8" standalone="yes"?>
<Relationships xmlns="http://schemas.openxmlformats.org/package/2006/relationships"><Relationship Id="rId15569909" Type="http://schemas.openxmlformats.org/officeDocument/2006/relationships/image" Target="media/image206155bb0c46df7ca.png"/><Relationship Id="rId741055bb0c46ab867" Type="http://schemas.openxmlformats.org/officeDocument/2006/relationships/image" Target="media/image881155bb0c46df893.png"/></Relationships>

</file>

<file path=word/_rels/header768955bb0c46dcfee.xml.rels><?xml version="1.0" encoding="UTF-8" standalone="yes"?>
<Relationships xmlns="http://schemas.openxmlformats.org/package/2006/relationships"><Relationship Id="rId15569909" Type="http://schemas.openxmlformats.org/officeDocument/2006/relationships/image" Target="media/image272155bb0c46dff86.png"/><Relationship Id="rId741055bb0c46ab867" Type="http://schemas.openxmlformats.org/officeDocument/2006/relationships/image" Target="media/image807355bb0c46e000d.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