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5449" type="#_x0000_t202" style="position:absolute;mso-position-horizontal:right;width:260pt;height:40pt;z-index:9983250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financial statements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and Confirmation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Mr.Timothy Ralph Wheeler as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Mr.Sunder Genomal as Director,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Sandeep Kumar Maini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Vikram Gamanlal Shah [DIN: 00119565] as an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to Directors (other than Managing Directors and Whole Time Directors) under Section 197(1) of the Companies Act, 2013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36125" type="#_x0000_t202" style="position:absolute;mso-position-horizontal:right;width:260pt;height:40pt;z-index:4192770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13459.90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15,007.80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1,11,53,874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76.59</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1,543.02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1,187.60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5,224.69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969.07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884.26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5,352.94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310.95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247.41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603.45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115.49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153.78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377.43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175.75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14.62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50.58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57.60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6.78</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Nari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Cartica Capital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Sunder Genomal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IDFC Premier Equity Fund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Ramesh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Steadview Capital Mauritius Ltd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Madhuri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ABG Capital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Sanjeev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LTR Focus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Shamir Sunder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Shahendar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955864" type="#_x0000_t202" style="position:absolute;mso-position-horizontal:right;width:260pt;height:40pt;z-index:5101521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Pradeep Jaipuria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Gururaj Purushottam Albal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Bhoopalam Chandra Shekharaiah Prabhakar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Sandeep Kumar Maini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Automotive &amp; Aerospace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Vikram Gamanlal Shah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Rukmani Menon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Nari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Ramesh Genomal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Timothy Ralph Wheeler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Sunder Genomal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119.51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Pius Thomas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111.74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Page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Pradeep Jaipuria(50%)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Bhoopalam Chandra Shekharaiah Prabhakar(50%)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Not Disclosed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LEAD INDEPENDENT DIRECTOR</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386183" type="#_x0000_t202" style="position:absolute;mso-position-horizontal:right;width:260pt;height:40pt;z-index:73977109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Pius Thomas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0.31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0.53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63</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Page Industries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Sanjaybhai Shrenikbhai Lalbhai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B Agarwala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196.024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377.43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62.05</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0.56%</w:t>
            </w:r>
          </w:p>
        </w:tc>
      </w:tr>
    </w:tbl>
    <w:p>
      <w:r>
        <w:br w:type="page"/>
      </w:r>
    </w:p>
    <w:p>
      <w:r>
        <w:pict>
          <v:shape id="_x0000_s68544" type="#_x0000_t202" style="position:absolute;mso-position-horizontal:right;width:260pt;height:40pt;z-index:13174389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4066734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87"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56905288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88"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88404945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8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5741426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1630138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358614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69910209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3226579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86503433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0651894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6705390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583672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56011028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9"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98882682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500"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 not applicable.</w:t>
      </w:r>
    </w:p>
    <w:p>
      <w:r>
        <w:br w:type="page"/>
      </w:r>
    </w:p>
    <w:p>
      <w:r>
        <w:pict>
          <v:shape id="_x0000_s181472" type="#_x0000_t202" style="position:absolute;mso-position-horizontal:right;width:260pt;height:40pt;z-index:7124246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financial statements</w:t>
      </w:r>
    </w:p>
    <w:p>
      <w:pPr>
        <w:widowControl w:val="on"/>
        <w:pBdr/>
        <w:spacing w:before="120" w:after="120" w:line="270" w:lineRule="auto"/>
        <w:ind w:left="0" w:right="0"/>
        <w:jc w:val="both"/>
      </w:pPr>
      <w:r>
        <w:rPr>
          <w:color w:val="000000"/>
          <w:sz w:val="20"/>
          <w:szCs w:val="20"/>
        </w:rPr>
        <w:t xml:space="preserve">To receive, consider and adopt the audited financial statement for the year ended 31</w:t>
      </w:r>
      <w:r>
        <w:rPr>
          <w:color w:val="000000"/>
          <w:position w:val="3"/>
          <w:sz w:val="18"/>
          <w:szCs w:val="18"/>
          <w:vertAlign w:val="superscript"/>
        </w:rPr>
        <w:t xml:space="preserve">st</w:t>
      </w:r>
      <w:r>
        <w:rPr>
          <w:color w:val="000000"/>
          <w:sz w:val="20"/>
          <w:szCs w:val="20"/>
        </w:rPr>
        <w:t xml:space="preserve"> March, 2015, the reports of the Board of Directors and the Auditors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qualifciation.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mentioned that In their opinion and to the best of their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w:t>
      </w:r>
      <w:r>
        <w:rPr>
          <w:color w:val="000000"/>
          <w:position w:val="3"/>
          <w:sz w:val="18"/>
          <w:szCs w:val="18"/>
          <w:vertAlign w:val="superscript"/>
        </w:rPr>
        <w:t xml:space="preserve">st</w:t>
      </w:r>
      <w:r>
        <w:rPr>
          <w:color w:val="000000"/>
          <w:sz w:val="20"/>
          <w:szCs w:val="20"/>
        </w:rPr>
        <w:t xml:space="preserve"> March, 2015, its profit and its cash flows for the year ended on that date.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Acounting Policy.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9.87%</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and Confirmation of Dividend</w:t>
      </w:r>
    </w:p>
    <w:p>
      <w:pPr>
        <w:numPr>
          <w:ilvl w:val="0"/>
          <w:numId w:val="1"/>
        </w:numPr>
        <w:spacing w:before="0" w:after="0" w:line="240" w:lineRule="auto"/>
        <w:jc w:val="left"/>
        <w:rPr>
          <w:color w:val="000000"/>
          <w:sz w:val="20"/>
          <w:szCs w:val="20"/>
        </w:rPr>
      </w:pPr>
      <w:r>
        <w:rPr>
          <w:color w:val="000000"/>
          <w:sz w:val="20"/>
          <w:szCs w:val="20"/>
        </w:rPr>
        <w:t xml:space="preserve">To declare a final dividend of Rs.20 per share and to confirm interim dividends of Rs.52 per share, already paid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sufficeint liquid assets to pay the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During the year 2014-15, the Directors have declared three interim dividends on 29th May, 2014 (Rs.16 per share), 10th November, 2014 (Rs.18 per share) and 12th February, 2015 (Rs. 18 per share) on an equity share value of Rs. 10 each and are also recommending a final dividend of Rs. 20 per share aggregating to a total dividend of Rs. 72 per share of an equity share value of Rs.10 each amounting to Rs. 80.30 crore for the year ended 31st March, 2015. The Company has sufficient liquid assets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Appointment of Auditor</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Haribhakti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Shreedhar Ghanekar</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  </w:t>
            </w:r>
          </w:p>
        </w:tc>
      </w:tr>
    </w:tbl>
    <w:p>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a Director in the place of Mr. Sunder Genomal [DIN: 00109720] who retires by rotation and being eligible, offers himself for reappointment.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 Tech</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 e has o v e r t hree d e c ade s of experience in various facets of textile industry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Page Industries Ltd</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SUNDER GENOMAL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To appoint a Director in the place of Mr. Timothy Ralph Wheeler [DIN:00863237] who retires by rotation and being eligible, offers himself for reappointment.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PG(Accountancy &amp; Political Science),CPA(USA)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Past Experience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He has over three years of experience i n Te x t ile a n d Apparel industry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Committee positions in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Retirement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Retiring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Part of promoter group?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40" w:after="40" w:line="240" w:lineRule="auto"/>
        <w:ind w:left="0" w:right="0"/>
        <w:jc w:val="left"/>
      </w:pPr>
      <w:r>
        <w:rPr>
          <w:color w:val="000000"/>
          <w:sz w:val="4"/>
          <w:szCs w:val="4"/>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0" w:after="0" w:line="240" w:lineRule="auto"/>
        <w:ind w:left="0" w:right="0"/>
        <w:jc w:val="left"/>
      </w:pPr>
      <w:r>
        <w:rPr>
          <w:color w:val="000000"/>
          <w:sz w:val="20"/>
          <w:szCs w:val="20"/>
        </w:rPr>
        <w:t xml:space="preserve">yes</w:t>
      </w:r>
    </w:p>
    <w:p>
      <w:pPr>
        <w:widowControl w:val="on"/>
        <w:pBdr/>
        <w:spacing w:before="120" w:after="120" w:line="270" w:lineRule="auto"/>
        <w:ind w:left="0" w:right="0"/>
        <w:jc w:val="both"/>
      </w:pPr>
      <w:r>
        <w:rPr>
          <w:color w:val="000000"/>
          <w:sz w:val="20"/>
          <w:szCs w:val="20"/>
        </w:rPr>
        <w:t xml:space="preserve">Appointment of Mr. Vikram Gamanlal Shah [DIN: 00119565] as an Independent Director</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Automotive &amp; Aerospace</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Graduate in Engineering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Information Technology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He is expertise in the fields of Automotive &amp; Aerospace, Plastics &amp; Composites,Material Handling Equipments, Storage Systems, Electric Vehicles and All Terrain Vehicles.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 Tech(Electrical &amp; Electronic),M.S.(Computer Science)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Past Experience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D9D9D9"/>
              </w:rPr>
              <w:t xml:space="preserve">He is an Information Technology expert in the fields of product managemen t , s t r a t egi c marketing, web and media services, global procurement, global network operations centre, collaborati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Committee positions in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0</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Shareholding / ESOPs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Lakhs)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16</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0" w:after="0" w:line="240" w:lineRule="auto"/>
        <w:ind w:left="0" w:right="0"/>
        <w:jc w:val="left"/>
      </w:pPr>
      <w:r>
        <w:rPr>
          <w:color w:val="000000"/>
          <w:sz w:val="20"/>
          <w:szCs w:val="20"/>
        </w:rPr>
        <w:t xml:space="preserve">0</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0" w:after="0" w:line="240" w:lineRule="auto"/>
        <w:ind w:left="0" w:right="0"/>
        <w:jc w:val="left"/>
      </w:pPr>
      <w:r>
        <w:rPr>
          <w:color w:val="000000"/>
          <w:sz w:val="20"/>
          <w:szCs w:val="20"/>
        </w:rPr>
        <w:t xml:space="preserve">0%</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200" w:after="200" w:line="240" w:lineRule="auto"/>
              <w:ind w:left="0" w:right="0"/>
              <w:jc w:val="center"/>
              <w:textAlignment w:val="center"/>
            </w:pPr>
            <w:r>
              <w:rPr>
                <w:color w:val="000000"/>
                <w:position w:val="-3"/>
                <w:sz w:val="20"/>
                <w:szCs w:val="20"/>
                <w:shd w:val="clear" w:color="auto" w:fill="D9D9D9"/>
              </w:rPr>
              <w:t xml:space="preserve">Appointment of Mr. Sandeep Kumar Maini [DIN: 01568787]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01568787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1568787</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pymenyt to neds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1">
            <w:altChunkPr>
              <w:matchSrc/>
            </w:altChunkPr>
          </w:altChunk>
          <w:p/>
        </w:tc>
        <w:tc>
          <w:tcPr>
            <w:tcW w:w="6000" w:type="dxa"/>
            <w:vAlign w:val="top"/>
          </w:tcPr>
          <w:altChunk xmlns:r="http://schemas.openxmlformats.org/officeDocument/2006/relationships" xmlns:w="http://schemas.openxmlformats.org/wordprocessingml/2006/main" r:id="rDOCXId12">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altChunk xmlns:r="http://schemas.openxmlformats.org/officeDocument/2006/relationships" xmlns:w="http://schemas.openxmlformats.org/wordprocessingml/2006/main" r:id="rDOCXId13">
      <w:altChunkPr>
        <w:matchSrc/>
      </w:altChunkPr>
    </w:altChunk>
    <w:sectPr xmlns:w="http://schemas.openxmlformats.org/wordprocessingml/2006/main" w:rsidR="00AC197E" w:rsidRPr="00DF064E" w:rsidSect="000F6147">
      <w:footerReference xmlns:r="http://schemas.openxmlformats.org/officeDocument/2006/relationships" w:type="even" r:id="rId271555bb5414df525"/>
      <w:footerReference xmlns:r="http://schemas.openxmlformats.org/officeDocument/2006/relationships" w:type="default" r:id="rId503355bb5414df3e2"/>
      <w:headerReference xmlns:r="http://schemas.openxmlformats.org/officeDocument/2006/relationships" w:type="even" r:id="rId254555bb5414ddd03"/>
      <w:headerReference xmlns:r="http://schemas.openxmlformats.org/officeDocument/2006/relationships" w:type="default" r:id="rId185055bb5414ddbd3"/>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2056252"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50544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324124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50544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0555bb54197a9df" type="#_x0000_t75" style="position:absolute;margin-left:0;margin-top:0;width:780;height:900;z-index:-251656192;mso-position-horizontal:center;mso-position-horizontal-relative:margin;mso-position-vertical:center;mso-position-vertical-relative:margin" o:allowincell="f">
          <v:imagedata r:id="rId580555bb54197a9df" o:title="461655bb54197c35b"/>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2056252"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50544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324124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50544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0555bb54197a9df" type="#_x0000_t75" style="position:absolute;margin-left:0;margin-top:0;width:780;height:900;z-index:-251656192;mso-position-horizontal:center;mso-position-horizontal-relative:margin;mso-position-vertical:center;mso-position-vertical-relative:margin" o:allowincell="f">
          <v:imagedata r:id="rId580555bb54197a9df" o:title="260255bb54197be94"/>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457116">
    <w:multiLevelType w:val="hybridMultilevel"/>
    <w:lvl w:ilvl="0" w:tplc="94322136">
      <w:start w:val="1"/>
      <w:numFmt w:val="decimal"/>
      <w:lvlText w:val="%1."/>
      <w:lvlJc w:val="left"/>
      <w:pPr>
        <w:ind w:left="720" w:hanging="360"/>
      </w:pPr>
    </w:lvl>
    <w:lvl w:ilvl="1" w:tplc="94322136" w:tentative="1">
      <w:start w:val="1"/>
      <w:numFmt w:val="lowerLetter"/>
      <w:lvlText w:val="%2."/>
      <w:lvlJc w:val="left"/>
      <w:pPr>
        <w:ind w:left="1440" w:hanging="360"/>
      </w:pPr>
    </w:lvl>
    <w:lvl w:ilvl="2" w:tplc="94322136" w:tentative="1">
      <w:start w:val="1"/>
      <w:numFmt w:val="lowerRoman"/>
      <w:lvlText w:val="%3."/>
      <w:lvlJc w:val="right"/>
      <w:pPr>
        <w:ind w:left="2160" w:hanging="180"/>
      </w:pPr>
    </w:lvl>
    <w:lvl w:ilvl="3" w:tplc="94322136" w:tentative="1">
      <w:start w:val="1"/>
      <w:numFmt w:val="decimal"/>
      <w:lvlText w:val="%4."/>
      <w:lvlJc w:val="left"/>
      <w:pPr>
        <w:ind w:left="2880" w:hanging="360"/>
      </w:pPr>
    </w:lvl>
    <w:lvl w:ilvl="4" w:tplc="94322136" w:tentative="1">
      <w:start w:val="1"/>
      <w:numFmt w:val="lowerLetter"/>
      <w:lvlText w:val="%5."/>
      <w:lvlJc w:val="left"/>
      <w:pPr>
        <w:ind w:left="3600" w:hanging="360"/>
      </w:pPr>
    </w:lvl>
    <w:lvl w:ilvl="5" w:tplc="94322136" w:tentative="1">
      <w:start w:val="1"/>
      <w:numFmt w:val="lowerRoman"/>
      <w:lvlText w:val="%6."/>
      <w:lvlJc w:val="right"/>
      <w:pPr>
        <w:ind w:left="4320" w:hanging="180"/>
      </w:pPr>
    </w:lvl>
    <w:lvl w:ilvl="6" w:tplc="94322136" w:tentative="1">
      <w:start w:val="1"/>
      <w:numFmt w:val="decimal"/>
      <w:lvlText w:val="%7."/>
      <w:lvlJc w:val="left"/>
      <w:pPr>
        <w:ind w:left="5040" w:hanging="360"/>
      </w:pPr>
    </w:lvl>
    <w:lvl w:ilvl="7" w:tplc="94322136" w:tentative="1">
      <w:start w:val="1"/>
      <w:numFmt w:val="lowerLetter"/>
      <w:lvlText w:val="%8."/>
      <w:lvlJc w:val="left"/>
      <w:pPr>
        <w:ind w:left="5760" w:hanging="360"/>
      </w:pPr>
    </w:lvl>
    <w:lvl w:ilvl="8" w:tplc="94322136" w:tentative="1">
      <w:start w:val="1"/>
      <w:numFmt w:val="lowerRoman"/>
      <w:lvlText w:val="%9."/>
      <w:lvlJc w:val="right"/>
      <w:pPr>
        <w:ind w:left="6480" w:hanging="180"/>
      </w:pPr>
    </w:lvl>
  </w:abstractNum>
  <w:abstractNum w:abstractNumId="23457115">
    <w:multiLevelType w:val="hybridMultilevel"/>
    <w:lvl w:ilvl="0" w:tplc="918932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3457115">
    <w:abstractNumId w:val="23457115"/>
  </w:num>
  <w:num w:numId="23457116">
    <w:abstractNumId w:val="234571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75054486" Type="http://schemas.openxmlformats.org/officeDocument/2006/relationships/image" Target="media/imgrId75054486.png" /></Relationships>
</file>

<file path=word/_rels/defaultHeader.xml.rels><?xml version="1.0" encoding="UTF-8" standalone="yes"?>
<Relationships xmlns="http://schemas.openxmlformats.org/package/2006/relationships"><Relationship Id="rId75054485" Type="http://schemas.openxmlformats.org/officeDocument/2006/relationships/image" Target="media/imgrId75054485.png"/><Relationship Id="rId580555bb54197a9df" Type="http://schemas.openxmlformats.org/officeDocument/2006/relationships/image" Target="media/image580555bb54197a9df.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85055bb5414ddbd3" Type="http://schemas.openxmlformats.org/officeDocument/2006/relationships/header" Target="defaultHeader.xml"/><Relationship Id="rId254555bb5414ddd03" Type="http://schemas.openxmlformats.org/officeDocument/2006/relationships/header" Target="evenHeader.xml"/><Relationship Id="rId503355bb5414df3e2" Type="http://schemas.openxmlformats.org/officeDocument/2006/relationships/footer" Target="defaultFooter.xml"/><Relationship Id="rId271555bb5414df525"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75054487" Type="http://schemas.openxmlformats.org/officeDocument/2006/relationships/image" Target="media/imgrId75054487.png"/><Relationship Id="rId75054488" Type="http://schemas.openxmlformats.org/officeDocument/2006/relationships/image" Target="media/imgrId75054488.png"/><Relationship Id="rId75054489" Type="http://schemas.openxmlformats.org/officeDocument/2006/relationships/image" Target="media/imgrId75054489.png"/><Relationship Id="rId75054490" Type="http://schemas.openxmlformats.org/officeDocument/2006/relationships/image" Target="media/imgrId75054490.png"/><Relationship Id="rId75054491" Type="http://schemas.openxmlformats.org/officeDocument/2006/relationships/image" Target="media/imgrId75054491.png"/><Relationship Id="rId75054492" Type="http://schemas.openxmlformats.org/officeDocument/2006/relationships/image" Target="media/imgrId75054492.png"/><Relationship Id="rId75054493" Type="http://schemas.openxmlformats.org/officeDocument/2006/relationships/image" Target="media/imgrId75054493.png"/><Relationship Id="rId75054494" Type="http://schemas.openxmlformats.org/officeDocument/2006/relationships/image" Target="media/imgrId75054494.png"/><Relationship Id="rId75054495" Type="http://schemas.openxmlformats.org/officeDocument/2006/relationships/image" Target="media/imgrId75054495.png"/><Relationship Id="rId75054496" Type="http://schemas.openxmlformats.org/officeDocument/2006/relationships/image" Target="media/imgrId75054496.png"/><Relationship Id="rId75054497" Type="http://schemas.openxmlformats.org/officeDocument/2006/relationships/image" Target="media/imgrId75054497.png"/><Relationship Id="rId75054498" Type="http://schemas.openxmlformats.org/officeDocument/2006/relationships/image" Target="media/imgrId75054498.png"/><Relationship Id="rId75054499" Type="http://schemas.openxmlformats.org/officeDocument/2006/relationships/image" Target="media/imgrId75054499.png"/><Relationship Id="rId75054500" Type="http://schemas.openxmlformats.org/officeDocument/2006/relationships/image" Target="media/imgrId7505450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75054486" Type="http://schemas.openxmlformats.org/officeDocument/2006/relationships/image" Target="media/imgrId75054486.png" /></Relationships>
</file>

<file path=word/_rels/evenHeader.xml.rels><?xml version="1.0" encoding="UTF-8" standalone="yes"?>
<Relationships xmlns="http://schemas.openxmlformats.org/package/2006/relationships"><Relationship Id="rId75054485" Type="http://schemas.openxmlformats.org/officeDocument/2006/relationships/image" Target="media/imgrId75054485.png"/><Relationship Id="rId580555bb54197a9df" Type="http://schemas.openxmlformats.org/officeDocument/2006/relationships/image" Target="media/image580555bb54197a9df.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